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CD" w:rsidRDefault="00B6332E">
      <w:pPr>
        <w:pStyle w:val="normal"/>
        <w:widowControl w:val="0"/>
        <w:pBdr>
          <w:top w:val="nil"/>
          <w:left w:val="nil"/>
          <w:bottom w:val="nil"/>
          <w:right w:val="nil"/>
          <w:between w:val="nil"/>
        </w:pBdr>
        <w:spacing w:before="332" w:line="240" w:lineRule="auto"/>
        <w:ind w:left="57"/>
        <w:rPr>
          <w:rFonts w:ascii="Arial Narrow" w:eastAsia="Arial Narrow" w:hAnsi="Arial Narrow" w:cs="Arial Narrow"/>
          <w:b/>
          <w:color w:val="000000"/>
          <w:sz w:val="32"/>
          <w:szCs w:val="32"/>
        </w:rPr>
      </w:pPr>
      <w:r>
        <w:rPr>
          <w:rFonts w:ascii="Arial Narrow" w:eastAsia="Arial Narrow" w:hAnsi="Arial Narrow" w:cs="Arial Narrow"/>
          <w:b/>
          <w:color w:val="000000"/>
          <w:sz w:val="32"/>
          <w:szCs w:val="32"/>
        </w:rPr>
        <w:t xml:space="preserve">Parlamento europeo </w:t>
      </w:r>
      <w:r>
        <w:rPr>
          <w:noProof/>
        </w:rPr>
        <w:drawing>
          <wp:anchor distT="19050" distB="19050" distL="19050" distR="19050" simplePos="0" relativeHeight="251658240" behindDoc="0" locked="0" layoutInCell="1" allowOverlap="1">
            <wp:simplePos x="0" y="0"/>
            <wp:positionH relativeFrom="column">
              <wp:posOffset>4608703</wp:posOffset>
            </wp:positionH>
            <wp:positionV relativeFrom="paragraph">
              <wp:posOffset>-203364</wp:posOffset>
            </wp:positionV>
            <wp:extent cx="1158875" cy="65214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cstate="print"/>
                    <a:srcRect/>
                    <a:stretch>
                      <a:fillRect/>
                    </a:stretch>
                  </pic:blipFill>
                  <pic:spPr>
                    <a:xfrm>
                      <a:off x="0" y="0"/>
                      <a:ext cx="1158875" cy="652145"/>
                    </a:xfrm>
                    <a:prstGeom prst="rect">
                      <a:avLst/>
                    </a:prstGeom>
                    <a:ln/>
                  </pic:spPr>
                </pic:pic>
              </a:graphicData>
            </a:graphic>
          </wp:anchor>
        </w:drawing>
      </w:r>
    </w:p>
    <w:p w:rsidR="00A95CCD" w:rsidRDefault="00B6332E">
      <w:pPr>
        <w:pStyle w:val="normal"/>
        <w:widowControl w:val="0"/>
        <w:pBdr>
          <w:top w:val="nil"/>
          <w:left w:val="nil"/>
          <w:bottom w:val="nil"/>
          <w:right w:val="nil"/>
          <w:between w:val="nil"/>
        </w:pBdr>
        <w:spacing w:before="115" w:line="229" w:lineRule="auto"/>
        <w:ind w:left="44" w:right="9" w:hanging="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Attuazione della politica di sicurezza e di difesa comune – relazione annuale  2024 </w:t>
      </w:r>
    </w:p>
    <w:p w:rsidR="00A95CCD" w:rsidRDefault="00B6332E">
      <w:pPr>
        <w:pStyle w:val="normal"/>
        <w:widowControl w:val="0"/>
        <w:pBdr>
          <w:top w:val="nil"/>
          <w:left w:val="nil"/>
          <w:bottom w:val="nil"/>
          <w:right w:val="nil"/>
          <w:between w:val="nil"/>
        </w:pBdr>
        <w:spacing w:before="129" w:line="229" w:lineRule="auto"/>
        <w:ind w:left="47" w:right="430" w:hanging="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Risoluzione del Parlamento europeo del 2 aprile 2025 sull'attuazione della politica di  sicurezza e di difesa comune – relazione annuale 2024 (2024/2082(INI)) </w:t>
      </w:r>
    </w:p>
    <w:p w:rsidR="00A95CCD" w:rsidRDefault="00B6332E">
      <w:pPr>
        <w:pStyle w:val="normal"/>
        <w:widowControl w:val="0"/>
        <w:pBdr>
          <w:top w:val="nil"/>
          <w:left w:val="nil"/>
          <w:bottom w:val="nil"/>
          <w:right w:val="nil"/>
          <w:between w:val="nil"/>
        </w:pBdr>
        <w:spacing w:before="486" w:line="240" w:lineRule="auto"/>
        <w:ind w:left="3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Il Parlamento europeo</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35"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il trattato sul funzionamento dell'Unione europea (TFUE), </w:t>
      </w:r>
    </w:p>
    <w:p w:rsidR="00A95CCD" w:rsidRDefault="00B6332E">
      <w:pPr>
        <w:pStyle w:val="normal"/>
        <w:widowControl w:val="0"/>
        <w:pBdr>
          <w:top w:val="nil"/>
          <w:left w:val="nil"/>
          <w:bottom w:val="nil"/>
          <w:right w:val="nil"/>
          <w:between w:val="nil"/>
        </w:pBdr>
        <w:spacing w:before="235" w:line="229" w:lineRule="auto"/>
        <w:ind w:left="616" w:right="386" w:hanging="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il titolo V del trattato sull'Unione europea (TUE), in particolare il capo 2,  sezione 2, recante disposizioni sulla politica di sicurezza e di difesa comune (PSDC), </w:t>
      </w:r>
    </w:p>
    <w:p w:rsidR="00A95CCD" w:rsidRDefault="00B6332E">
      <w:pPr>
        <w:pStyle w:val="normal"/>
        <w:widowControl w:val="0"/>
        <w:pBdr>
          <w:top w:val="nil"/>
          <w:left w:val="nil"/>
          <w:bottom w:val="nil"/>
          <w:right w:val="nil"/>
          <w:between w:val="nil"/>
        </w:pBdr>
        <w:spacing w:before="246" w:line="229" w:lineRule="auto"/>
        <w:ind w:left="612" w:right="123" w:hanging="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dichiarazione di Versailles adottata l'11 marzo 2022 in occasione della riunione  informale dei capi di Stato e di governo, </w:t>
      </w:r>
    </w:p>
    <w:p w:rsidR="00A95CCD" w:rsidRDefault="00B6332E">
      <w:pPr>
        <w:pStyle w:val="normal"/>
        <w:widowControl w:val="0"/>
        <w:pBdr>
          <w:top w:val="nil"/>
          <w:left w:val="nil"/>
          <w:bottom w:val="nil"/>
          <w:right w:val="nil"/>
          <w:between w:val="nil"/>
        </w:pBdr>
        <w:spacing w:before="246" w:line="229" w:lineRule="auto"/>
        <w:ind w:left="604" w:right="466" w:hanging="5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"Bussola strategica per la sicurezza e la difesa – Per un'Unione europea che  protegge i suoi cittadini, i suoi valori e i suoi interessi e contribuisce alla pace e alla  sicurezza internazionali", approvata dal Consiglio il 21 marzo 2022 e dal Consiglio  europeo il 25 marzo 2022, </w:t>
      </w:r>
    </w:p>
    <w:p w:rsidR="00A95CCD" w:rsidRDefault="00B6332E">
      <w:pPr>
        <w:pStyle w:val="normal"/>
        <w:widowControl w:val="0"/>
        <w:pBdr>
          <w:top w:val="nil"/>
          <w:left w:val="nil"/>
          <w:bottom w:val="nil"/>
          <w:right w:val="nil"/>
          <w:between w:val="nil"/>
        </w:pBdr>
        <w:spacing w:before="246"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strategie di sicurezza nazionali degli Stati membri dell'UE, </w:t>
      </w:r>
    </w:p>
    <w:p w:rsidR="00A95CCD" w:rsidRDefault="00B6332E">
      <w:pPr>
        <w:pStyle w:val="normal"/>
        <w:widowControl w:val="0"/>
        <w:pBdr>
          <w:top w:val="nil"/>
          <w:left w:val="nil"/>
          <w:bottom w:val="nil"/>
          <w:right w:val="nil"/>
          <w:between w:val="nil"/>
        </w:pBdr>
        <w:spacing w:before="235" w:line="229" w:lineRule="auto"/>
        <w:ind w:left="613" w:right="182" w:hanging="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il "Patto sulla dimensione civile della PSDC – Verso missioni civili più efficaci",  approvato dal Consiglio il 22 maggio 2023, </w:t>
      </w:r>
    </w:p>
    <w:p w:rsidR="00A95CCD" w:rsidRDefault="00B6332E">
      <w:pPr>
        <w:pStyle w:val="normal"/>
        <w:widowControl w:val="0"/>
        <w:pBdr>
          <w:top w:val="nil"/>
          <w:left w:val="nil"/>
          <w:bottom w:val="nil"/>
          <w:right w:val="nil"/>
          <w:between w:val="nil"/>
        </w:pBdr>
        <w:spacing w:before="246" w:line="229" w:lineRule="auto"/>
        <w:ind w:left="604" w:right="-4" w:hanging="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decisione (PESC) 2017/2315 del Consiglio, dell'11 dicembre 2017, che istituisce  la cooperazione strutturata permanente (PESCO) e fissa l'elenco degli Stati membri  partecipanti</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6" w:right="232"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decisione (PESC) 2022/1968 del Consiglio del 17 ottobre 2022 relativa a una  missione di assistenza militare dell'Unione europea a sostegno dell'Ucraina (EUMAM  Ucraina)</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145"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decisione (PESC) 2022/1970 del Consiglio del 17 ottobre 2022 che modifica la  decisione 2010/452/PESC sulla missione di vigilanza dell'Unione europea in Georgia,  </w:t>
      </w:r>
    </w:p>
    <w:p w:rsidR="00A95CCD" w:rsidRDefault="00B6332E">
      <w:pPr>
        <w:pStyle w:val="normal"/>
        <w:widowControl w:val="0"/>
        <w:pBdr>
          <w:top w:val="nil"/>
          <w:left w:val="nil"/>
          <w:bottom w:val="nil"/>
          <w:right w:val="nil"/>
          <w:between w:val="nil"/>
        </w:pBdr>
        <w:spacing w:before="983" w:line="216" w:lineRule="auto"/>
        <w:ind w:left="41" w:right="498" w:firstLine="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331 del 14.12.2017, pag. 57, ELI: </w:t>
      </w:r>
      <w:r>
        <w:rPr>
          <w:rFonts w:ascii="Times New Roman" w:eastAsia="Times New Roman" w:hAnsi="Times New Roman" w:cs="Times New Roman"/>
          <w:color w:val="0563C1"/>
          <w:sz w:val="24"/>
          <w:szCs w:val="24"/>
          <w:u w:val="single"/>
        </w:rPr>
        <w:t>http://data.europa.eu/eli/dec/2017/2315/oj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270 del 18.10.2022, pag. 85, ELI: </w:t>
      </w:r>
      <w:r>
        <w:rPr>
          <w:rFonts w:ascii="Times New Roman" w:eastAsia="Times New Roman" w:hAnsi="Times New Roman" w:cs="Times New Roman"/>
          <w:color w:val="0563C1"/>
          <w:sz w:val="24"/>
          <w:szCs w:val="24"/>
          <w:u w:val="single"/>
        </w:rPr>
        <w:t>http://data.europa.eu/eli/dec/2022/1968/oj</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line="240" w:lineRule="auto"/>
        <w:ind w:left="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EUMM Georgia</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35" w:line="229" w:lineRule="auto"/>
        <w:ind w:left="612" w:right="165"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decisione (PESC) 2022/2507 del Consiglio del 19 dicembre 2022 che modifica  la decisione 2010/452/PESC, sulla missione di vigilanza dell'Unione europea in  Georgia, EUMM Georgia</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7" w:right="371"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decisione (PESC) 2023/162 del Consiglio del 23 gennaio 2023 relativa a una  missione dell'Unione europea in Armenia (EUMA)</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36" w:right="22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vista la decisione (PESC) 2024/890 del Consiglio, del 18 marzo 2024, che modifica la  decisione (PESC) 2021/509, che istituisce uno strumento europeo per la pace</w:t>
      </w:r>
      <w:r>
        <w:rPr>
          <w:rFonts w:ascii="Times New Roman" w:eastAsia="Times New Roman" w:hAnsi="Times New Roman" w:cs="Times New Roman"/>
          <w:color w:val="000000"/>
          <w:sz w:val="26"/>
          <w:szCs w:val="26"/>
          <w:vertAlign w:val="superscript"/>
        </w:rPr>
        <w:t>4</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6" w:right="479" w:hanging="57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visto il regolamento (UE) 2019/452 del Parlamento europeo e del Consiglio, del 19  marzo 2019, che istituisce un quadro per il controllo degli investimenti esteri diretti  nell'Unione</w:t>
      </w:r>
      <w:r>
        <w:rPr>
          <w:rFonts w:ascii="Times New Roman" w:eastAsia="Times New Roman" w:hAnsi="Times New Roman" w:cs="Times New Roman"/>
          <w:color w:val="000000"/>
          <w:sz w:val="26"/>
          <w:szCs w:val="26"/>
          <w:vertAlign w:val="superscript"/>
        </w:rPr>
        <w:t>5</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0" w:hanging="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visto il regolamento (UE) 2021/697 del Parlamento europeo e del Consiglio del  29 aprile 2021 che istituisce il Fondo europeo per la difesa e abroga il regolamento (UE)  2018/1092</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2" w:right="445"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visto il regolamento (UE) 2023/1525 del Parlamento europeo e del Consiglio del 20  luglio 2023 sul sostegno alla produzione di munizioni (ASAP)</w:t>
      </w:r>
      <w:r>
        <w:rPr>
          <w:rFonts w:ascii="Times New Roman" w:eastAsia="Times New Roman" w:hAnsi="Times New Roman" w:cs="Times New Roman"/>
          <w:color w:val="000000"/>
          <w:sz w:val="26"/>
          <w:szCs w:val="26"/>
          <w:vertAlign w:val="superscript"/>
        </w:rPr>
        <w:t>7</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385" w:hanging="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visto il regolamento (UE) 2023/2418 del Parlamento europeo e del Consiglio, del 18  ottobre 2023, sull'istituzione di uno strumento per il rafforzamento dell'industria  europea della difesa mediante appalti comuni (EDIRPA)</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6" w:right="469"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visto il regolamento (UE) 2024/1252 del Parlamento europeo e del Consiglio,  dell'11 aprile 2024, che istituisce un quadro atto a garantire un approvvigionamento  sicuro e sostenibile di materie prime critiche e che modifica i regolamenti (UE)  n. 168/2013, (UE) 2018/858, (UE) 2018/1724 e (UE) 2019/1020</w:t>
      </w:r>
      <w:r>
        <w:rPr>
          <w:rFonts w:ascii="Times New Roman" w:eastAsia="Times New Roman" w:hAnsi="Times New Roman" w:cs="Times New Roman"/>
          <w:color w:val="000000"/>
          <w:sz w:val="26"/>
          <w:szCs w:val="26"/>
          <w:vertAlign w:val="superscript"/>
        </w:rPr>
        <w:t>9</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7" w:right="219"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proposta di regolamento del Parlamento europeo e del Consiglio che stabilisce  misure intese a rafforzare la solidarietà e le capacità dell'Unione di rilevamento delle  minacce e degli incidenti di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e di preparazione e risposta agli stessi  (COM(2023)0209), presentata dalla Commissione il 18 aprile 2023, </w:t>
      </w:r>
    </w:p>
    <w:p w:rsidR="00A95CCD" w:rsidRDefault="00B6332E">
      <w:pPr>
        <w:pStyle w:val="normal"/>
        <w:widowControl w:val="0"/>
        <w:pBdr>
          <w:top w:val="nil"/>
          <w:left w:val="nil"/>
          <w:bottom w:val="nil"/>
          <w:right w:val="nil"/>
          <w:between w:val="nil"/>
        </w:pBdr>
        <w:spacing w:before="246" w:line="229" w:lineRule="auto"/>
        <w:ind w:left="36" w:right="5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comunicazione congiunta della Commissione e dell'alto rappresentante  dell'Unione per gli affari esteri e la politica di sicurezza, del 10 marzo 2023, su una  strategia dell'Unione europea per la sicurezza e la difesa (JOIN(2023)0009), </w:t>
      </w:r>
    </w:p>
    <w:p w:rsidR="00A95CCD" w:rsidRDefault="00B6332E">
      <w:pPr>
        <w:pStyle w:val="normal"/>
        <w:widowControl w:val="0"/>
        <w:pBdr>
          <w:top w:val="nil"/>
          <w:left w:val="nil"/>
          <w:bottom w:val="nil"/>
          <w:right w:val="nil"/>
          <w:between w:val="nil"/>
        </w:pBdr>
        <w:spacing w:before="246" w:line="229" w:lineRule="auto"/>
        <w:ind w:left="36" w:right="5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raccomandazione (UE) 2023/2113 della Commissione , del 3 ottobre 2023,  relativa ai settori tecnologici critici per la sicurezza economica dell'UE ai fini di  </w:t>
      </w:r>
    </w:p>
    <w:p w:rsidR="00A95CCD" w:rsidRDefault="00B6332E">
      <w:pPr>
        <w:pStyle w:val="normal"/>
        <w:widowControl w:val="0"/>
        <w:pBdr>
          <w:top w:val="nil"/>
          <w:left w:val="nil"/>
          <w:bottom w:val="nil"/>
          <w:right w:val="nil"/>
          <w:between w:val="nil"/>
        </w:pBdr>
        <w:spacing w:before="464" w:line="216" w:lineRule="auto"/>
        <w:ind w:left="40" w:right="378" w:firstLine="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270 del 18.10.2022, pag. 93, ELI: </w:t>
      </w:r>
      <w:r>
        <w:rPr>
          <w:rFonts w:ascii="Times New Roman" w:eastAsia="Times New Roman" w:hAnsi="Times New Roman" w:cs="Times New Roman"/>
          <w:color w:val="0563C1"/>
          <w:sz w:val="24"/>
          <w:szCs w:val="24"/>
          <w:u w:val="single"/>
        </w:rPr>
        <w:t>http://data.europa.eu/eli/dec/2022/1970/oj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325 del 20.12.2022, pag. 110, ELI: </w:t>
      </w:r>
      <w:r>
        <w:rPr>
          <w:rFonts w:ascii="Times New Roman" w:eastAsia="Times New Roman" w:hAnsi="Times New Roman" w:cs="Times New Roman"/>
          <w:color w:val="0563C1"/>
          <w:sz w:val="24"/>
          <w:szCs w:val="24"/>
          <w:u w:val="single"/>
        </w:rPr>
        <w:t>http://data.europa.eu/eli/dec/2022/2507/oj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22 del 24.1.2023, pag. 29, ELI: </w:t>
      </w:r>
      <w:r>
        <w:rPr>
          <w:rFonts w:ascii="Times New Roman" w:eastAsia="Times New Roman" w:hAnsi="Times New Roman" w:cs="Times New Roman"/>
          <w:color w:val="0563C1"/>
          <w:sz w:val="24"/>
          <w:szCs w:val="24"/>
          <w:u w:val="single"/>
        </w:rPr>
        <w:t>http://data.europa.eu/eli/dec/2023/162/oj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4</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2024/890, 19.3.2024, ELI: </w:t>
      </w:r>
      <w:r>
        <w:rPr>
          <w:rFonts w:ascii="Times New Roman" w:eastAsia="Times New Roman" w:hAnsi="Times New Roman" w:cs="Times New Roman"/>
          <w:color w:val="0563C1"/>
          <w:sz w:val="24"/>
          <w:szCs w:val="24"/>
          <w:u w:val="single"/>
        </w:rPr>
        <w:t>http://data.europa.eu/eli/dec/2024/890/oj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5</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79 I del 21.3.2019, pag. 1, ELI: </w:t>
      </w:r>
      <w:r>
        <w:rPr>
          <w:rFonts w:ascii="Times New Roman" w:eastAsia="Times New Roman" w:hAnsi="Times New Roman" w:cs="Times New Roman"/>
          <w:color w:val="0563C1"/>
          <w:sz w:val="24"/>
          <w:szCs w:val="24"/>
          <w:u w:val="single"/>
        </w:rPr>
        <w:t>http://data.europa.eu/eli/reg/2019/452/oj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170 del 12.5.2021, ELI: </w:t>
      </w:r>
      <w:r>
        <w:rPr>
          <w:rFonts w:ascii="Times New Roman" w:eastAsia="Times New Roman" w:hAnsi="Times New Roman" w:cs="Times New Roman"/>
          <w:color w:val="0563C1"/>
          <w:sz w:val="24"/>
          <w:szCs w:val="24"/>
          <w:u w:val="single"/>
        </w:rPr>
        <w:t>http://data.europa.eu/eli/reg/2021/697/oj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7</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185 del 24.7.2023, pag. 7, ELI: </w:t>
      </w:r>
      <w:r>
        <w:rPr>
          <w:rFonts w:ascii="Times New Roman" w:eastAsia="Times New Roman" w:hAnsi="Times New Roman" w:cs="Times New Roman"/>
          <w:color w:val="0563C1"/>
          <w:sz w:val="24"/>
          <w:szCs w:val="24"/>
          <w:u w:val="single"/>
        </w:rPr>
        <w:t>http://data.europa.eu/eli/reg/2023/1525/oj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2023/2418, 26.10.2023, ELI: </w:t>
      </w:r>
      <w:r>
        <w:rPr>
          <w:rFonts w:ascii="Times New Roman" w:eastAsia="Times New Roman" w:hAnsi="Times New Roman" w:cs="Times New Roman"/>
          <w:color w:val="0563C1"/>
          <w:sz w:val="24"/>
          <w:szCs w:val="24"/>
          <w:u w:val="single"/>
        </w:rPr>
        <w:t>http://data.europa.eu/eli/reg/2023/2418/oj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9</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2024/1252, 3.5.2024, ELI: </w:t>
      </w:r>
      <w:r>
        <w:rPr>
          <w:rFonts w:ascii="Times New Roman" w:eastAsia="Times New Roman" w:hAnsi="Times New Roman" w:cs="Times New Roman"/>
          <w:color w:val="0563C1"/>
          <w:sz w:val="24"/>
          <w:szCs w:val="24"/>
          <w:u w:val="single"/>
        </w:rPr>
        <w:t>http://data.europa.eu/eli/reg/2024/1252/oj</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line="240" w:lineRule="auto"/>
        <w:ind w:left="6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un'ulteriore valutazione dei rischi con gli Stati membri</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35" w:line="229" w:lineRule="auto"/>
        <w:ind w:left="604" w:right="490" w:hanging="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decisione di finanziamento annuale, che costituisce la prima parte del  programma di lavoro annuale per l'attuazione del Fondo europeo per la difesa per il  2024, adottata dalla Commissione il 21 giugno 2023 (C(2023)4252), </w:t>
      </w:r>
    </w:p>
    <w:p w:rsidR="00A95CCD" w:rsidRDefault="00B6332E">
      <w:pPr>
        <w:pStyle w:val="normal"/>
        <w:widowControl w:val="0"/>
        <w:pBdr>
          <w:top w:val="nil"/>
          <w:left w:val="nil"/>
          <w:bottom w:val="nil"/>
          <w:right w:val="nil"/>
          <w:between w:val="nil"/>
        </w:pBdr>
        <w:spacing w:before="246" w:line="229" w:lineRule="auto"/>
        <w:ind w:left="614" w:right="95" w:hanging="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conclusioni del Consiglio del 22 gennaio 2018 sull'approccio integrato alle crisi  e ai conflitti esterni e quelle del 24 gennaio 2022 sulla situazione della sicurezza  europea, </w:t>
      </w:r>
    </w:p>
    <w:p w:rsidR="00A95CCD" w:rsidRDefault="00B6332E">
      <w:pPr>
        <w:pStyle w:val="normal"/>
        <w:widowControl w:val="0"/>
        <w:pBdr>
          <w:top w:val="nil"/>
          <w:left w:val="nil"/>
          <w:bottom w:val="nil"/>
          <w:right w:val="nil"/>
          <w:between w:val="nil"/>
        </w:pBdr>
        <w:spacing w:before="246" w:line="229" w:lineRule="auto"/>
        <w:ind w:left="612" w:right="226" w:hanging="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vista la dichiarazione di Granada adottata il 6 ottobre 2023 in occasione della riunione  informale dei capi di Stato e di governo, </w:t>
      </w:r>
    </w:p>
    <w:p w:rsidR="00A95CCD" w:rsidRDefault="00B6332E">
      <w:pPr>
        <w:pStyle w:val="normal"/>
        <w:widowControl w:val="0"/>
        <w:pBdr>
          <w:top w:val="nil"/>
          <w:left w:val="nil"/>
          <w:bottom w:val="nil"/>
          <w:right w:val="nil"/>
          <w:between w:val="nil"/>
        </w:pBdr>
        <w:spacing w:before="246" w:line="229" w:lineRule="auto"/>
        <w:ind w:left="612" w:right="579"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conclusioni del Consiglio del 21 febbraio 2022 che prorogano e rafforzano  l'attuazione del concetto delle presenze marittime coordinate nel Golfo di Guinea, </w:t>
      </w:r>
    </w:p>
    <w:p w:rsidR="00A95CCD" w:rsidRDefault="00B6332E">
      <w:pPr>
        <w:pStyle w:val="normal"/>
        <w:widowControl w:val="0"/>
        <w:pBdr>
          <w:top w:val="nil"/>
          <w:left w:val="nil"/>
          <w:bottom w:val="nil"/>
          <w:right w:val="nil"/>
          <w:between w:val="nil"/>
        </w:pBdr>
        <w:spacing w:before="246" w:line="229" w:lineRule="auto"/>
        <w:ind w:left="36" w:right="79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conclusioni del Consiglio europeo del 21 e 22 marzo 2024 riguardanti la  decisione di avviare negoziati di adesione con la Bosnia-Erzegovina, </w:t>
      </w:r>
    </w:p>
    <w:p w:rsidR="00A95CCD" w:rsidRDefault="00B6332E">
      <w:pPr>
        <w:pStyle w:val="normal"/>
        <w:widowControl w:val="0"/>
        <w:pBdr>
          <w:top w:val="nil"/>
          <w:left w:val="nil"/>
          <w:bottom w:val="nil"/>
          <w:right w:val="nil"/>
          <w:between w:val="nil"/>
        </w:pBdr>
        <w:spacing w:before="246" w:line="229" w:lineRule="auto"/>
        <w:ind w:left="613" w:right="825"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conclusioni del Consiglio del 27 maggio 2024 sulla sicurezza e la difesa  dell'UE, </w:t>
      </w:r>
    </w:p>
    <w:p w:rsidR="00A95CCD" w:rsidRDefault="00B6332E">
      <w:pPr>
        <w:pStyle w:val="normal"/>
        <w:widowControl w:val="0"/>
        <w:pBdr>
          <w:top w:val="nil"/>
          <w:left w:val="nil"/>
          <w:bottom w:val="nil"/>
          <w:right w:val="nil"/>
          <w:between w:val="nil"/>
        </w:pBdr>
        <w:spacing w:before="246" w:line="229" w:lineRule="auto"/>
        <w:ind w:left="607" w:right="483" w:hanging="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comunicazione congiunta della Commissione e dell'alto rappresentante  dell'Unione per gli affari esteri e la politica di sicurezza, del 10 novembre 2022, dal  titolo "Piano d'azione sulla mobilità militare 2.0" (JOIN(2022)0048), </w:t>
      </w:r>
    </w:p>
    <w:p w:rsidR="00A95CCD" w:rsidRDefault="00B6332E">
      <w:pPr>
        <w:pStyle w:val="normal"/>
        <w:widowControl w:val="0"/>
        <w:pBdr>
          <w:top w:val="nil"/>
          <w:left w:val="nil"/>
          <w:bottom w:val="nil"/>
          <w:right w:val="nil"/>
          <w:between w:val="nil"/>
        </w:pBdr>
        <w:spacing w:before="246" w:line="229" w:lineRule="auto"/>
        <w:ind w:left="613" w:right="120"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comunicazione congiunta della Commissione e dell'alto rappresentante  dell'Unione per gli affari esteri e la politica di sicurezza del 18 maggio 2022 sull'analisi  delle carenze di investimenti nel settore della difesa e sulle prospettive di percorso  (JOIN(2022)0024), </w:t>
      </w:r>
    </w:p>
    <w:p w:rsidR="00A95CCD" w:rsidRDefault="00B6332E">
      <w:pPr>
        <w:pStyle w:val="normal"/>
        <w:widowControl w:val="0"/>
        <w:pBdr>
          <w:top w:val="nil"/>
          <w:left w:val="nil"/>
          <w:bottom w:val="nil"/>
          <w:right w:val="nil"/>
          <w:between w:val="nil"/>
        </w:pBdr>
        <w:spacing w:before="246" w:line="229" w:lineRule="auto"/>
        <w:ind w:left="604" w:right="396" w:hanging="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comunicazione congiunta della Commissione e dell'alto rappresentante  dell'Unione per gli affari esteri e la politica di sicurezza, del 5 marzo 2024, dal titolo  "Una nuova strategia industriale europea per il settore della difesa: conseguire la  prontezza dell'UE attraverso un'industria europea della difesa reattiva e resiliente"  (JOIN(2024)0010), </w:t>
      </w:r>
    </w:p>
    <w:p w:rsidR="00A95CCD" w:rsidRDefault="00B6332E">
      <w:pPr>
        <w:pStyle w:val="normal"/>
        <w:widowControl w:val="0"/>
        <w:pBdr>
          <w:top w:val="nil"/>
          <w:left w:val="nil"/>
          <w:bottom w:val="nil"/>
          <w:right w:val="nil"/>
          <w:between w:val="nil"/>
        </w:pBdr>
        <w:spacing w:before="246" w:line="229" w:lineRule="auto"/>
        <w:ind w:left="603" w:right="133"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relazione dell'alto rappresentante dell'Unione per gli affari esteri e la politica di  sicurezza, del 20 giugno 2024, dal titolo "Common </w:t>
      </w:r>
      <w:proofErr w:type="spellStart"/>
      <w:r>
        <w:rPr>
          <w:rFonts w:ascii="Times New Roman" w:eastAsia="Times New Roman" w:hAnsi="Times New Roman" w:cs="Times New Roman"/>
          <w:color w:val="000000"/>
          <w:sz w:val="24"/>
          <w:szCs w:val="24"/>
        </w:rPr>
        <w:t>Foreign</w:t>
      </w:r>
      <w:proofErr w:type="spellEnd"/>
      <w:r>
        <w:rPr>
          <w:rFonts w:ascii="Times New Roman" w:eastAsia="Times New Roman" w:hAnsi="Times New Roman" w:cs="Times New Roman"/>
          <w:color w:val="000000"/>
          <w:sz w:val="24"/>
          <w:szCs w:val="24"/>
        </w:rPr>
        <w:t xml:space="preserve"> and Security Policy Report  –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priorities</w:t>
      </w:r>
      <w:proofErr w:type="spellEnd"/>
      <w:r>
        <w:rPr>
          <w:rFonts w:ascii="Times New Roman" w:eastAsia="Times New Roman" w:hAnsi="Times New Roman" w:cs="Times New Roman"/>
          <w:color w:val="000000"/>
          <w:sz w:val="24"/>
          <w:szCs w:val="24"/>
        </w:rPr>
        <w:t xml:space="preserve"> in 2024" (Relazione sulla politica estera e di sicurezza comune – Le  nostre priorità per il 2024), </w:t>
      </w:r>
    </w:p>
    <w:p w:rsidR="00A95CCD" w:rsidRDefault="00B6332E">
      <w:pPr>
        <w:pStyle w:val="normal"/>
        <w:widowControl w:val="0"/>
        <w:pBdr>
          <w:top w:val="nil"/>
          <w:left w:val="nil"/>
          <w:bottom w:val="nil"/>
          <w:right w:val="nil"/>
          <w:between w:val="nil"/>
        </w:pBdr>
        <w:spacing w:before="246" w:line="229" w:lineRule="auto"/>
        <w:ind w:left="613" w:right="253"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visti gli orientamenti politici per la prossima Commissione europea 2024-2029 della  candidata alla carica di presidente della Commissione europea, Ursula von </w:t>
      </w:r>
      <w:proofErr w:type="spellStart"/>
      <w:r>
        <w:rPr>
          <w:rFonts w:ascii="Times New Roman" w:eastAsia="Times New Roman" w:hAnsi="Times New Roman" w:cs="Times New Roman"/>
          <w:color w:val="000000"/>
          <w:sz w:val="24"/>
          <w:szCs w:val="24"/>
        </w:rPr>
        <w:t>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Leyen</w:t>
      </w:r>
      <w:proofErr w:type="spellEnd"/>
      <w:r>
        <w:rPr>
          <w:rFonts w:ascii="Times New Roman" w:eastAsia="Times New Roman" w:hAnsi="Times New Roman" w:cs="Times New Roman"/>
          <w:color w:val="000000"/>
          <w:sz w:val="24"/>
          <w:szCs w:val="24"/>
        </w:rPr>
        <w:t xml:space="preserve">,  del 18 luglio 2024, dal titolo "La scelta dell'Europa", </w:t>
      </w:r>
    </w:p>
    <w:p w:rsidR="00A95CCD" w:rsidRDefault="00B6332E">
      <w:pPr>
        <w:pStyle w:val="normal"/>
        <w:widowControl w:val="0"/>
        <w:pBdr>
          <w:top w:val="nil"/>
          <w:left w:val="nil"/>
          <w:bottom w:val="nil"/>
          <w:right w:val="nil"/>
          <w:between w:val="nil"/>
        </w:pBdr>
        <w:spacing w:before="246" w:line="229" w:lineRule="auto"/>
        <w:ind w:left="36"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relazione di Enrico Letta dal titolo "</w:t>
      </w:r>
      <w:proofErr w:type="spellStart"/>
      <w:r>
        <w:rPr>
          <w:rFonts w:ascii="Times New Roman" w:eastAsia="Times New Roman" w:hAnsi="Times New Roman" w:cs="Times New Roman"/>
          <w:color w:val="000000"/>
          <w:sz w:val="24"/>
          <w:szCs w:val="24"/>
        </w:rPr>
        <w:t>Much</w:t>
      </w:r>
      <w:proofErr w:type="spellEnd"/>
      <w:r>
        <w:rPr>
          <w:rFonts w:ascii="Times New Roman" w:eastAsia="Times New Roman" w:hAnsi="Times New Roman" w:cs="Times New Roman"/>
          <w:color w:val="000000"/>
          <w:sz w:val="24"/>
          <w:szCs w:val="24"/>
        </w:rPr>
        <w:t xml:space="preserve"> more </w:t>
      </w:r>
      <w:proofErr w:type="spellStart"/>
      <w:r>
        <w:rPr>
          <w:rFonts w:ascii="Times New Roman" w:eastAsia="Times New Roman" w:hAnsi="Times New Roman" w:cs="Times New Roman"/>
          <w:color w:val="000000"/>
          <w:sz w:val="24"/>
          <w:szCs w:val="24"/>
        </w:rPr>
        <w:t>than</w:t>
      </w:r>
      <w:proofErr w:type="spellEnd"/>
      <w:r>
        <w:rPr>
          <w:rFonts w:ascii="Times New Roman" w:eastAsia="Times New Roman" w:hAnsi="Times New Roman" w:cs="Times New Roman"/>
          <w:color w:val="000000"/>
          <w:sz w:val="24"/>
          <w:szCs w:val="24"/>
        </w:rPr>
        <w:t xml:space="preserve"> a Market" (Molto più di un  mercato), e in particolare la sezione "</w:t>
      </w:r>
      <w:proofErr w:type="spellStart"/>
      <w:r>
        <w:rPr>
          <w:rFonts w:ascii="Times New Roman" w:eastAsia="Times New Roman" w:hAnsi="Times New Roman" w:cs="Times New Roman"/>
          <w:color w:val="000000"/>
          <w:sz w:val="24"/>
          <w:szCs w:val="24"/>
        </w:rPr>
        <w:t>Promoting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peace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enhancing</w:t>
      </w:r>
      <w:proofErr w:type="spellEnd"/>
      <w:r>
        <w:rPr>
          <w:rFonts w:ascii="Times New Roman" w:eastAsia="Times New Roman" w:hAnsi="Times New Roman" w:cs="Times New Roman"/>
          <w:color w:val="000000"/>
          <w:sz w:val="24"/>
          <w:szCs w:val="24"/>
        </w:rPr>
        <w:t xml:space="preserve"> security: </w:t>
      </w:r>
      <w:proofErr w:type="spellStart"/>
      <w:r>
        <w:rPr>
          <w:rFonts w:ascii="Times New Roman" w:eastAsia="Times New Roman" w:hAnsi="Times New Roman" w:cs="Times New Roman"/>
          <w:color w:val="000000"/>
          <w:sz w:val="24"/>
          <w:szCs w:val="24"/>
        </w:rPr>
        <w:t>towards</w:t>
      </w:r>
      <w:proofErr w:type="spellEnd"/>
      <w:r>
        <w:rPr>
          <w:rFonts w:ascii="Times New Roman" w:eastAsia="Times New Roman" w:hAnsi="Times New Roman" w:cs="Times New Roman"/>
          <w:color w:val="000000"/>
          <w:sz w:val="24"/>
          <w:szCs w:val="24"/>
        </w:rPr>
        <w:t xml:space="preserve">  a Common Market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defence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industry</w:t>
      </w:r>
      <w:proofErr w:type="spellEnd"/>
      <w:r>
        <w:rPr>
          <w:rFonts w:ascii="Times New Roman" w:eastAsia="Times New Roman" w:hAnsi="Times New Roman" w:cs="Times New Roman"/>
          <w:color w:val="000000"/>
          <w:sz w:val="24"/>
          <w:szCs w:val="24"/>
        </w:rPr>
        <w:t xml:space="preserve">"(Promuovere la pace e rafforzare la  sicurezza: verso un mercato comune per l'industria della difesa), pubblicata nell'aprile  </w:t>
      </w:r>
    </w:p>
    <w:p w:rsidR="00A95CCD" w:rsidRDefault="00B6332E">
      <w:pPr>
        <w:pStyle w:val="normal"/>
        <w:widowControl w:val="0"/>
        <w:pBdr>
          <w:top w:val="nil"/>
          <w:left w:val="nil"/>
          <w:bottom w:val="nil"/>
          <w:right w:val="nil"/>
          <w:between w:val="nil"/>
        </w:pBdr>
        <w:spacing w:before="648" w:line="240" w:lineRule="auto"/>
        <w:ind w:lef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L, 2023/2113, 11.10.2023, ELI: </w:t>
      </w:r>
      <w:r>
        <w:rPr>
          <w:rFonts w:ascii="Times New Roman" w:eastAsia="Times New Roman" w:hAnsi="Times New Roman" w:cs="Times New Roman"/>
          <w:color w:val="0563C1"/>
          <w:sz w:val="24"/>
          <w:szCs w:val="24"/>
          <w:u w:val="single"/>
        </w:rPr>
        <w:t>http://data.europa.eu/eli/reco/2023/2113/oj</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line="240" w:lineRule="auto"/>
        <w:ind w:left="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2024, </w:t>
      </w:r>
    </w:p>
    <w:p w:rsidR="00A95CCD" w:rsidRDefault="00B6332E">
      <w:pPr>
        <w:pStyle w:val="normal"/>
        <w:widowControl w:val="0"/>
        <w:pBdr>
          <w:top w:val="nil"/>
          <w:left w:val="nil"/>
          <w:bottom w:val="nil"/>
          <w:right w:val="nil"/>
          <w:between w:val="nil"/>
        </w:pBdr>
        <w:spacing w:before="235" w:line="229" w:lineRule="auto"/>
        <w:ind w:left="613" w:right="225"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relazione di Mario Draghi, del 9 settembre 2024, sul futuro della competitività  europea e il relativo capitolo 4 sull'aumento della sicurezza e la riduzione delle  dipendenze, </w:t>
      </w:r>
    </w:p>
    <w:p w:rsidR="00A95CCD" w:rsidRDefault="00B6332E">
      <w:pPr>
        <w:pStyle w:val="normal"/>
        <w:widowControl w:val="0"/>
        <w:pBdr>
          <w:top w:val="nil"/>
          <w:left w:val="nil"/>
          <w:bottom w:val="nil"/>
          <w:right w:val="nil"/>
          <w:between w:val="nil"/>
        </w:pBdr>
        <w:spacing w:before="246" w:line="229" w:lineRule="auto"/>
        <w:ind w:left="607" w:right="257"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relazione di </w:t>
      </w:r>
      <w:proofErr w:type="spellStart"/>
      <w:r>
        <w:rPr>
          <w:rFonts w:ascii="Times New Roman" w:eastAsia="Times New Roman" w:hAnsi="Times New Roman" w:cs="Times New Roman"/>
          <w:color w:val="000000"/>
          <w:sz w:val="24"/>
          <w:szCs w:val="24"/>
        </w:rPr>
        <w:t>Sauli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Niinistö</w:t>
      </w:r>
      <w:proofErr w:type="spellEnd"/>
      <w:r>
        <w:rPr>
          <w:rFonts w:ascii="Times New Roman" w:eastAsia="Times New Roman" w:hAnsi="Times New Roman" w:cs="Times New Roman"/>
          <w:color w:val="000000"/>
          <w:sz w:val="24"/>
          <w:szCs w:val="24"/>
        </w:rPr>
        <w:t xml:space="preserve"> del 30 ottobre 2024 dal titolo "</w:t>
      </w:r>
      <w:proofErr w:type="spellStart"/>
      <w:r>
        <w:rPr>
          <w:rFonts w:ascii="Times New Roman" w:eastAsia="Times New Roman" w:hAnsi="Times New Roman" w:cs="Times New Roman"/>
          <w:color w:val="000000"/>
          <w:sz w:val="24"/>
          <w:szCs w:val="24"/>
        </w:rPr>
        <w:t>Safer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Together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Strengthening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Civilian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Military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Preparedness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Readiness</w:t>
      </w:r>
      <w:proofErr w:type="spellEnd"/>
      <w:r>
        <w:rPr>
          <w:rFonts w:ascii="Times New Roman" w:eastAsia="Times New Roman" w:hAnsi="Times New Roman" w:cs="Times New Roman"/>
          <w:color w:val="000000"/>
          <w:sz w:val="24"/>
          <w:szCs w:val="24"/>
        </w:rPr>
        <w:t xml:space="preserve">" (Più sicuri  insieme: rafforzare la preparazione e la prontezza dell'Europa nel settore civile e  militare), </w:t>
      </w:r>
    </w:p>
    <w:p w:rsidR="00A95CCD" w:rsidRDefault="00B6332E">
      <w:pPr>
        <w:pStyle w:val="normal"/>
        <w:widowControl w:val="0"/>
        <w:pBdr>
          <w:top w:val="nil"/>
          <w:left w:val="nil"/>
          <w:bottom w:val="nil"/>
          <w:right w:val="nil"/>
          <w:between w:val="nil"/>
        </w:pBdr>
        <w:spacing w:before="246" w:line="229" w:lineRule="auto"/>
        <w:ind w:left="610" w:right="-4" w:hanging="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visti i partenariati in materia di sicurezza e difesa firmati rispettivamente il  21 maggio 2024 dall'UE e dalla Moldova, il 28 maggio 2024 dall'UE e dalla Norvegia,  il 1° novembre 2024 dall'UE e dal Giappone, il 4 novembre 2024 dall'UE e dalla Corea  del Sud, il 19 novembre 2024 dall'UE e dalla Macedonia del Nord e il 18 dicembre 2024  dall'UE e dall'Albania, </w:t>
      </w:r>
    </w:p>
    <w:p w:rsidR="00A95CCD" w:rsidRDefault="00B6332E">
      <w:pPr>
        <w:pStyle w:val="normal"/>
        <w:widowControl w:val="0"/>
        <w:pBdr>
          <w:top w:val="nil"/>
          <w:left w:val="nil"/>
          <w:bottom w:val="nil"/>
          <w:right w:val="nil"/>
          <w:between w:val="nil"/>
        </w:pBdr>
        <w:spacing w:before="246" w:line="229" w:lineRule="auto"/>
        <w:ind w:left="36" w:right="1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Carta delle Nazioni Unite, in particolare l'articolo 2, paragrafo 4, che vieta l'uso  della forza, e l'articolo 51 sul diritto naturale di autotutela individuale o collettiva, </w:t>
      </w:r>
    </w:p>
    <w:p w:rsidR="00A95CCD" w:rsidRDefault="00B6332E">
      <w:pPr>
        <w:pStyle w:val="normal"/>
        <w:widowControl w:val="0"/>
        <w:pBdr>
          <w:top w:val="nil"/>
          <w:left w:val="nil"/>
          <w:bottom w:val="nil"/>
          <w:right w:val="nil"/>
          <w:between w:val="nil"/>
        </w:pBdr>
        <w:spacing w:before="246"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convenzione delle Nazioni Unite sul diritto del mare (UNCLOS), </w:t>
      </w:r>
    </w:p>
    <w:p w:rsidR="00A95CCD" w:rsidRDefault="00B6332E">
      <w:pPr>
        <w:pStyle w:val="normal"/>
        <w:widowControl w:val="0"/>
        <w:pBdr>
          <w:top w:val="nil"/>
          <w:left w:val="nil"/>
          <w:bottom w:val="nil"/>
          <w:right w:val="nil"/>
          <w:between w:val="nil"/>
        </w:pBdr>
        <w:spacing w:before="235" w:line="229" w:lineRule="auto"/>
        <w:ind w:left="36" w:right="9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risoluzioni del Consiglio di sicurezza delle Nazioni Unite 1325 (2000) del  31 ottobre 2000, 1889 (2009) del 5 ottobre 2009, 2122 (2013) del 18 ottobre 2013,  2242 (2015) del 13 ottobre 2015 e 2493 (2019) del 29 ottobre 2019 sulle donne, la pace  e la sicurezza, e le risoluzioni 2250 (2015) del 9 dicembre 2015, 2419 (2018) del  6 giugno 2018 e 2535 (2020) del 14 luglio 2020 sui giovani, la pace e la sicurezza, </w:t>
      </w:r>
    </w:p>
    <w:p w:rsidR="00A95CCD" w:rsidRDefault="00B6332E">
      <w:pPr>
        <w:pStyle w:val="normal"/>
        <w:widowControl w:val="0"/>
        <w:pBdr>
          <w:top w:val="nil"/>
          <w:left w:val="nil"/>
          <w:bottom w:val="nil"/>
          <w:right w:val="nil"/>
          <w:between w:val="nil"/>
        </w:pBdr>
        <w:spacing w:before="246" w:line="229" w:lineRule="auto"/>
        <w:ind w:left="609" w:right="223" w:hanging="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risoluzione 70/1 dell'Assemblea generale delle Nazioni Unite del 25 settembre  2015, dal titolo "</w:t>
      </w:r>
      <w:proofErr w:type="spellStart"/>
      <w:r>
        <w:rPr>
          <w:rFonts w:ascii="Times New Roman" w:eastAsia="Times New Roman" w:hAnsi="Times New Roman" w:cs="Times New Roman"/>
          <w:color w:val="000000"/>
          <w:sz w:val="24"/>
          <w:szCs w:val="24"/>
        </w:rPr>
        <w:t>Transforming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our</w:t>
      </w:r>
      <w:proofErr w:type="spellEnd"/>
      <w:r>
        <w:rPr>
          <w:rFonts w:ascii="Times New Roman" w:eastAsia="Times New Roman" w:hAnsi="Times New Roman" w:cs="Times New Roman"/>
          <w:color w:val="000000"/>
          <w:sz w:val="24"/>
          <w:szCs w:val="24"/>
        </w:rPr>
        <w:t xml:space="preserve"> world: the 2030 Agenda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Sustainable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Development</w:t>
      </w:r>
      <w:proofErr w:type="spellEnd"/>
      <w:r>
        <w:rPr>
          <w:rFonts w:ascii="Times New Roman" w:eastAsia="Times New Roman" w:hAnsi="Times New Roman" w:cs="Times New Roman"/>
          <w:color w:val="000000"/>
          <w:sz w:val="24"/>
          <w:szCs w:val="24"/>
        </w:rPr>
        <w:t xml:space="preserve">" (Trasformare il nostro mondo: l'Agenda 2030 per lo sviluppo  sostenibile), </w:t>
      </w:r>
    </w:p>
    <w:p w:rsidR="00A95CCD" w:rsidRDefault="00B6332E">
      <w:pPr>
        <w:pStyle w:val="normal"/>
        <w:widowControl w:val="0"/>
        <w:pBdr>
          <w:top w:val="nil"/>
          <w:left w:val="nil"/>
          <w:bottom w:val="nil"/>
          <w:right w:val="nil"/>
          <w:between w:val="nil"/>
        </w:pBdr>
        <w:spacing w:before="246" w:line="229" w:lineRule="auto"/>
        <w:ind w:left="612" w:right="180" w:hanging="5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visti il Patto per il futuro, adottato il 23 settembre 2024 dai capi di Stato e di governo  degli Stati membri delle Nazioni Unite, e il relativo capitolo 2 sulla pace e la sicurezza  internazionali,  </w:t>
      </w:r>
    </w:p>
    <w:p w:rsidR="00A95CCD" w:rsidRDefault="00B6332E">
      <w:pPr>
        <w:pStyle w:val="normal"/>
        <w:widowControl w:val="0"/>
        <w:pBdr>
          <w:top w:val="nil"/>
          <w:left w:val="nil"/>
          <w:bottom w:val="nil"/>
          <w:right w:val="nil"/>
          <w:between w:val="nil"/>
        </w:pBdr>
        <w:spacing w:before="246"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il trattato del Nord Atlantico, </w:t>
      </w:r>
    </w:p>
    <w:p w:rsidR="00A95CCD" w:rsidRDefault="00B6332E">
      <w:pPr>
        <w:pStyle w:val="normal"/>
        <w:widowControl w:val="0"/>
        <w:pBdr>
          <w:top w:val="nil"/>
          <w:left w:val="nil"/>
          <w:bottom w:val="nil"/>
          <w:right w:val="nil"/>
          <w:between w:val="nil"/>
        </w:pBdr>
        <w:spacing w:before="235" w:line="229" w:lineRule="auto"/>
        <w:ind w:left="602" w:right="52"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dichiarazione del vertice di Madrid adottata dai capi di Stato e di governo della  NATO in occasione della riunione del Consiglio del Nord Atlantico tenutasi a Madrid il  29 giugno 2022, </w:t>
      </w:r>
    </w:p>
    <w:p w:rsidR="00A95CCD" w:rsidRDefault="00B6332E">
      <w:pPr>
        <w:pStyle w:val="normal"/>
        <w:widowControl w:val="0"/>
        <w:pBdr>
          <w:top w:val="nil"/>
          <w:left w:val="nil"/>
          <w:bottom w:val="nil"/>
          <w:right w:val="nil"/>
          <w:between w:val="nil"/>
        </w:pBdr>
        <w:spacing w:before="246" w:line="229" w:lineRule="auto"/>
        <w:ind w:left="607" w:right="192" w:hanging="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visti il concetto strategico 2022 della NATO e il comunicato del vertice NATO 2023 a  Vilnius, </w:t>
      </w:r>
    </w:p>
    <w:p w:rsidR="00A95CCD" w:rsidRDefault="00B6332E">
      <w:pPr>
        <w:pStyle w:val="normal"/>
        <w:widowControl w:val="0"/>
        <w:pBdr>
          <w:top w:val="nil"/>
          <w:left w:val="nil"/>
          <w:bottom w:val="nil"/>
          <w:right w:val="nil"/>
          <w:between w:val="nil"/>
        </w:pBdr>
        <w:spacing w:before="246" w:line="229" w:lineRule="auto"/>
        <w:ind w:left="610" w:right="536" w:hanging="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viste le tre dichiarazioni congiunte sulla cooperazione UE-NATO firmate l'8 luglio  2016, il 10 luglio 2018 e il 10 gennaio 2023, </w:t>
      </w:r>
    </w:p>
    <w:p w:rsidR="00A95CCD" w:rsidRDefault="00B6332E">
      <w:pPr>
        <w:pStyle w:val="normal"/>
        <w:widowControl w:val="0"/>
        <w:pBdr>
          <w:top w:val="nil"/>
          <w:left w:val="nil"/>
          <w:bottom w:val="nil"/>
          <w:right w:val="nil"/>
          <w:between w:val="nil"/>
        </w:pBdr>
        <w:spacing w:before="246" w:line="229" w:lineRule="auto"/>
        <w:ind w:left="36" w:right="23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nona relazione sullo stato dei lavori relativi all'attuazione dell'insieme comune  di proposte approvato dai Consigli dell'UE e della NATO il 6 dicembre 2016 e il 5  dicembre 2017, presentata congiuntamente dal vicepresidente della Commissione/alto  rappresentante dell'Unione per gli affari esteri e la politica di sicurezza (VP/AR) e dal </w:t>
      </w:r>
    </w:p>
    <w:p w:rsidR="00A95CCD" w:rsidRDefault="00B6332E">
      <w:pPr>
        <w:pStyle w:val="normal"/>
        <w:widowControl w:val="0"/>
        <w:pBdr>
          <w:top w:val="nil"/>
          <w:left w:val="nil"/>
          <w:bottom w:val="nil"/>
          <w:right w:val="nil"/>
          <w:between w:val="nil"/>
        </w:pBdr>
        <w:spacing w:line="240" w:lineRule="auto"/>
        <w:ind w:right="315"/>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Segretario generale della NATO ai Consigli dell'UE e della NATO il 13 giugno 2024, </w:t>
      </w:r>
    </w:p>
    <w:p w:rsidR="00A95CCD" w:rsidRDefault="00B6332E">
      <w:pPr>
        <w:pStyle w:val="normal"/>
        <w:widowControl w:val="0"/>
        <w:pBdr>
          <w:top w:val="nil"/>
          <w:left w:val="nil"/>
          <w:bottom w:val="nil"/>
          <w:right w:val="nil"/>
          <w:between w:val="nil"/>
        </w:pBdr>
        <w:spacing w:before="235" w:line="229" w:lineRule="auto"/>
        <w:ind w:left="607" w:right="126" w:hanging="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dichiarazione del vertice di Washington rilasciata dai capi di Stato e di governo  della NATO che hanno partecipato alla riunione del Consiglio del Nord Atlantico  tenutasi a Washington il 10 luglio 2024, </w:t>
      </w:r>
    </w:p>
    <w:p w:rsidR="00A95CCD" w:rsidRDefault="00B6332E">
      <w:pPr>
        <w:pStyle w:val="normal"/>
        <w:widowControl w:val="0"/>
        <w:pBdr>
          <w:top w:val="nil"/>
          <w:left w:val="nil"/>
          <w:bottom w:val="nil"/>
          <w:right w:val="nil"/>
          <w:between w:val="nil"/>
        </w:pBdr>
        <w:spacing w:before="246" w:line="229" w:lineRule="auto"/>
        <w:ind w:left="609" w:right="93" w:hanging="5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raccomandazione dell'8 giugno 2022 sulla politica estera, di sicurezza e di  difesa dell'Unione europea dopo la guerra di aggressione contro l'Ucraina da parte della  Russia</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507"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raccomandazione del 23 novembre 2022 concernente la nuova strategia  dell'UE in materia di allargamento</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6" w:right="452"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vista la sua risoluzione del 23 novembre 2022 sul riconoscimento della Federazione  russa come Stato sostenitore del terrorismo</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349"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1° giugno 2023 sulle ingerenze straniere in tutti i processi  democratici nell'Unione europea, inclusa la disinformazione</w:t>
      </w:r>
      <w:r>
        <w:rPr>
          <w:rFonts w:ascii="Times New Roman" w:eastAsia="Times New Roman" w:hAnsi="Times New Roman" w:cs="Times New Roman"/>
          <w:color w:val="000000"/>
          <w:sz w:val="26"/>
          <w:szCs w:val="26"/>
          <w:vertAlign w:val="superscript"/>
        </w:rPr>
        <w:t>4</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143"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28 febbraio 2024 sull'attuazione della politica di sicurezza e  di difesa comune – relazione annuale 2023</w:t>
      </w:r>
      <w:r>
        <w:rPr>
          <w:rFonts w:ascii="Times New Roman" w:eastAsia="Times New Roman" w:hAnsi="Times New Roman" w:cs="Times New Roman"/>
          <w:color w:val="000000"/>
          <w:sz w:val="26"/>
          <w:szCs w:val="26"/>
          <w:vertAlign w:val="superscript"/>
        </w:rPr>
        <w:t>5</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112"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29 febbraio 2024 sulla necessità di un fermo sostegno  dell'UE all'Ucraina dopo due anni di guerra di aggressione della Russia contro il Paese</w:t>
      </w: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704" w:hanging="5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17 luglio 2024 sulla necessità di un sostegno continuo  dell'UE all'Ucraina</w:t>
      </w:r>
      <w:r>
        <w:rPr>
          <w:rFonts w:ascii="Times New Roman" w:eastAsia="Times New Roman" w:hAnsi="Times New Roman" w:cs="Times New Roman"/>
          <w:color w:val="000000"/>
          <w:sz w:val="26"/>
          <w:szCs w:val="26"/>
          <w:vertAlign w:val="superscript"/>
        </w:rPr>
        <w:t>7</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36" w:right="103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19 settembre 2024 sul proseguimento del sostegno  finanziario e militare all'Ucraina da parte degli Stati membri dell'UE</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36" w:right="1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17 gennaio 2024 sulle implicazioni in materia di sicurezza e  di difesa dell'influenza della Cina sulle infrastrutture critiche nell'Unione europea</w:t>
      </w:r>
      <w:r>
        <w:rPr>
          <w:rFonts w:ascii="Times New Roman" w:eastAsia="Times New Roman" w:hAnsi="Times New Roman" w:cs="Times New Roman"/>
          <w:color w:val="000000"/>
          <w:sz w:val="26"/>
          <w:szCs w:val="26"/>
          <w:vertAlign w:val="superscript"/>
        </w:rPr>
        <w:t>9</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36" w:right="10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sua posizione del 22 ottobre 2024 </w:t>
      </w:r>
      <w:r>
        <w:rPr>
          <w:rFonts w:ascii="Times New Roman" w:eastAsia="Times New Roman" w:hAnsi="Times New Roman" w:cs="Times New Roman"/>
          <w:color w:val="000000"/>
          <w:sz w:val="24"/>
          <w:szCs w:val="24"/>
          <w:highlight w:val="white"/>
        </w:rPr>
        <w:t>sulla proposta di regolamento del Parlamento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europeo e del Consiglio che istituisce il meccanismo di cooperazione per i prestiti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all'Ucraina e fornisce assistenza macrofinanziaria eccezionale all'Ucraina</w:t>
      </w:r>
      <w:r>
        <w:rPr>
          <w:rFonts w:ascii="Times New Roman" w:eastAsia="Times New Roman" w:hAnsi="Times New Roman" w:cs="Times New Roman"/>
          <w:color w:val="000000"/>
          <w:sz w:val="26"/>
          <w:szCs w:val="26"/>
          <w:vertAlign w:val="superscript"/>
        </w:rPr>
        <w:t>10</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4" w:right="223" w:hanging="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sua risoluzione del 24 ottobre 2024 sull'interpretazione errata della risoluzione  2758 delle Nazioni Unite da parte della Repubblica popolare cinese e le sue continue  provocazioni militari intorno a Taiwan</w:t>
      </w:r>
      <w:r>
        <w:rPr>
          <w:rFonts w:ascii="Times New Roman" w:eastAsia="Times New Roman" w:hAnsi="Times New Roman" w:cs="Times New Roman"/>
          <w:color w:val="000000"/>
          <w:sz w:val="26"/>
          <w:szCs w:val="26"/>
          <w:vertAlign w:val="superscript"/>
        </w:rPr>
        <w:t>11</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532" w:line="240" w:lineRule="auto"/>
        <w:ind w:lef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493 del 27.12.2022, pag. 136. </w:t>
      </w:r>
    </w:p>
    <w:p w:rsidR="00A95CCD" w:rsidRDefault="00B6332E">
      <w:pPr>
        <w:pStyle w:val="normal"/>
        <w:widowControl w:val="0"/>
        <w:pBdr>
          <w:top w:val="nil"/>
          <w:left w:val="nil"/>
          <w:bottom w:val="nil"/>
          <w:right w:val="nil"/>
          <w:between w:val="nil"/>
        </w:pBdr>
        <w:spacing w:line="240" w:lineRule="auto"/>
        <w:ind w:left="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167 dell'11.5.2023, pag. 105. </w:t>
      </w:r>
    </w:p>
    <w:p w:rsidR="00A95CCD" w:rsidRDefault="00B6332E">
      <w:pPr>
        <w:pStyle w:val="normal"/>
        <w:widowControl w:val="0"/>
        <w:pBdr>
          <w:top w:val="nil"/>
          <w:left w:val="nil"/>
          <w:bottom w:val="nil"/>
          <w:right w:val="nil"/>
          <w:between w:val="nil"/>
        </w:pBdr>
        <w:spacing w:line="240" w:lineRule="auto"/>
        <w:ind w:left="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167 dell'11.5.2023, pag. 18. </w:t>
      </w:r>
    </w:p>
    <w:p w:rsidR="00A95CCD" w:rsidRDefault="00B6332E">
      <w:pPr>
        <w:pStyle w:val="normal"/>
        <w:widowControl w:val="0"/>
        <w:pBdr>
          <w:top w:val="nil"/>
          <w:left w:val="nil"/>
          <w:bottom w:val="nil"/>
          <w:right w:val="nil"/>
          <w:between w:val="nil"/>
        </w:pBdr>
        <w:spacing w:line="216" w:lineRule="auto"/>
        <w:ind w:left="45" w:right="824"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4</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C/2023/1226, 21.12.2023, ELI: </w:t>
      </w:r>
      <w:r>
        <w:rPr>
          <w:rFonts w:ascii="Times New Roman" w:eastAsia="Times New Roman" w:hAnsi="Times New Roman" w:cs="Times New Roman"/>
          <w:color w:val="0563C1"/>
          <w:sz w:val="24"/>
          <w:szCs w:val="24"/>
          <w:u w:val="single"/>
        </w:rPr>
        <w:t>http://data.europa.eu/eli/C/2023/1226/oj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5</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Testi approvati, P9_TA(2024)0105. </w:t>
      </w:r>
    </w:p>
    <w:p w:rsidR="00A95CCD" w:rsidRDefault="00B6332E">
      <w:pPr>
        <w:pStyle w:val="normal"/>
        <w:widowControl w:val="0"/>
        <w:pBdr>
          <w:top w:val="nil"/>
          <w:left w:val="nil"/>
          <w:bottom w:val="nil"/>
          <w:right w:val="nil"/>
          <w:between w:val="nil"/>
        </w:pBdr>
        <w:spacing w:before="3" w:line="216" w:lineRule="auto"/>
        <w:ind w:left="44" w:right="8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6</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C/2024/6745, 26.11.2024, ELI: </w:t>
      </w:r>
      <w:r>
        <w:rPr>
          <w:rFonts w:ascii="Times New Roman" w:eastAsia="Times New Roman" w:hAnsi="Times New Roman" w:cs="Times New Roman"/>
          <w:color w:val="0563C1"/>
          <w:sz w:val="24"/>
          <w:szCs w:val="24"/>
          <w:u w:val="single"/>
        </w:rPr>
        <w:t>http://data.europa.eu/eli/C/2024/6745/oj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7</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C/2024/6129, 22.10.2024, ELI: </w:t>
      </w:r>
      <w:r>
        <w:rPr>
          <w:rFonts w:ascii="Times New Roman" w:eastAsia="Times New Roman" w:hAnsi="Times New Roman" w:cs="Times New Roman"/>
          <w:color w:val="0563C1"/>
          <w:sz w:val="24"/>
          <w:szCs w:val="24"/>
          <w:u w:val="single"/>
        </w:rPr>
        <w:t>http://data.europa.eu/eli/C/2024/6129/oj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8</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C/2024/7214, 10.12.2024, ELI: </w:t>
      </w:r>
      <w:r>
        <w:rPr>
          <w:rFonts w:ascii="Times New Roman" w:eastAsia="Times New Roman" w:hAnsi="Times New Roman" w:cs="Times New Roman"/>
          <w:color w:val="0563C1"/>
          <w:sz w:val="24"/>
          <w:szCs w:val="24"/>
          <w:u w:val="single"/>
        </w:rPr>
        <w:t>http://data.europa.eu/eli/C/2024/7214/oj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9</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C/2024/5719, 17.10.2024, ELI: </w:t>
      </w:r>
      <w:r>
        <w:rPr>
          <w:rFonts w:ascii="Times New Roman" w:eastAsia="Times New Roman" w:hAnsi="Times New Roman" w:cs="Times New Roman"/>
          <w:color w:val="0563C1"/>
          <w:sz w:val="24"/>
          <w:szCs w:val="24"/>
          <w:u w:val="single"/>
        </w:rPr>
        <w:t>http://data.europa.eu/eli/C/2024/5719/oj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6"/>
          <w:szCs w:val="26"/>
          <w:vertAlign w:val="superscript"/>
        </w:rPr>
        <w:t>10</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C/2025/488, 29.1.2025, ELI: </w:t>
      </w:r>
      <w:r>
        <w:rPr>
          <w:rFonts w:ascii="Times New Roman" w:eastAsia="Times New Roman" w:hAnsi="Times New Roman" w:cs="Times New Roman"/>
          <w:color w:val="0563C1"/>
          <w:sz w:val="24"/>
          <w:szCs w:val="24"/>
          <w:u w:val="single"/>
        </w:rPr>
        <w:t>http://data.europa.eu/eli/C/2025/488/oj</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3" w:line="240" w:lineRule="auto"/>
        <w:ind w:lef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GU C, C/2025/487, 29.1.2025, ELI: </w:t>
      </w:r>
      <w:r>
        <w:rPr>
          <w:rFonts w:ascii="Times New Roman" w:eastAsia="Times New Roman" w:hAnsi="Times New Roman" w:cs="Times New Roman"/>
          <w:color w:val="0563C1"/>
          <w:sz w:val="24"/>
          <w:szCs w:val="24"/>
          <w:u w:val="single"/>
        </w:rPr>
        <w:t>http://data.europa.eu/eli/C/2025/487/oj</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line="229" w:lineRule="auto"/>
        <w:ind w:left="36" w:right="98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il piano per la vittoria dell'Ucraina presentato dal Presidente dell'Ucraina  </w:t>
      </w:r>
      <w:proofErr w:type="spellStart"/>
      <w:r>
        <w:rPr>
          <w:rFonts w:ascii="Times New Roman" w:eastAsia="Times New Roman" w:hAnsi="Times New Roman" w:cs="Times New Roman"/>
          <w:color w:val="000000"/>
          <w:sz w:val="24"/>
          <w:szCs w:val="24"/>
        </w:rPr>
        <w:t>Volodymyr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Zelenskyj</w:t>
      </w:r>
      <w:proofErr w:type="spellEnd"/>
      <w:r>
        <w:rPr>
          <w:rFonts w:ascii="Times New Roman" w:eastAsia="Times New Roman" w:hAnsi="Times New Roman" w:cs="Times New Roman"/>
          <w:color w:val="000000"/>
          <w:sz w:val="24"/>
          <w:szCs w:val="24"/>
        </w:rPr>
        <w:t xml:space="preserve"> al Consiglio europeo il 17 ottobre 2024, </w:t>
      </w:r>
    </w:p>
    <w:p w:rsidR="00A95CCD" w:rsidRDefault="00B6332E">
      <w:pPr>
        <w:pStyle w:val="normal"/>
        <w:widowControl w:val="0"/>
        <w:pBdr>
          <w:top w:val="nil"/>
          <w:left w:val="nil"/>
          <w:bottom w:val="nil"/>
          <w:right w:val="nil"/>
          <w:between w:val="nil"/>
        </w:pBdr>
        <w:spacing w:before="246"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vista la proposta "</w:t>
      </w:r>
      <w:proofErr w:type="spellStart"/>
      <w:r>
        <w:rPr>
          <w:rFonts w:ascii="Times New Roman" w:eastAsia="Times New Roman" w:hAnsi="Times New Roman" w:cs="Times New Roman"/>
          <w:color w:val="000000"/>
          <w:sz w:val="24"/>
          <w:szCs w:val="24"/>
        </w:rPr>
        <w:t>ReArm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w:t>
      </w:r>
      <w:proofErr w:type="spellEnd"/>
      <w:r>
        <w:rPr>
          <w:rFonts w:ascii="Times New Roman" w:eastAsia="Times New Roman" w:hAnsi="Times New Roman" w:cs="Times New Roman"/>
          <w:color w:val="000000"/>
          <w:sz w:val="24"/>
          <w:szCs w:val="24"/>
        </w:rPr>
        <w:t xml:space="preserve">" del 4 marzo 2025, </w:t>
      </w:r>
    </w:p>
    <w:p w:rsidR="00A95CCD" w:rsidRDefault="00B6332E">
      <w:pPr>
        <w:pStyle w:val="normal"/>
        <w:widowControl w:val="0"/>
        <w:pBdr>
          <w:top w:val="nil"/>
          <w:left w:val="nil"/>
          <w:bottom w:val="nil"/>
          <w:right w:val="nil"/>
          <w:between w:val="nil"/>
        </w:pBdr>
        <w:spacing w:before="235" w:line="229" w:lineRule="auto"/>
        <w:ind w:left="604" w:right="999" w:hanging="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il Libro bianco congiunto sulla prontezza europea alla difesa per il 2030,  presentato il 19 marzo 2025 (JOIN(2025)0120), </w:t>
      </w:r>
    </w:p>
    <w:p w:rsidR="00A95CCD" w:rsidRDefault="00B6332E">
      <w:pPr>
        <w:pStyle w:val="normal"/>
        <w:widowControl w:val="0"/>
        <w:pBdr>
          <w:top w:val="nil"/>
          <w:left w:val="nil"/>
          <w:bottom w:val="nil"/>
          <w:right w:val="nil"/>
          <w:between w:val="nil"/>
        </w:pBdr>
        <w:spacing w:before="246" w:line="229" w:lineRule="auto"/>
        <w:ind w:left="36"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proposta di regolamento del Consiglio che istituisce l'azione di sicurezza per  l'Europa (SAFE) mediante il rafforzamento dello strumento per l'industria europea della  difesa (COM(2025)0122), presentata dalla Commissione il 19 marzo 2025, </w:t>
      </w:r>
    </w:p>
    <w:p w:rsidR="00A95CCD" w:rsidRDefault="00B6332E">
      <w:pPr>
        <w:pStyle w:val="normal"/>
        <w:widowControl w:val="0"/>
        <w:pBdr>
          <w:top w:val="nil"/>
          <w:left w:val="nil"/>
          <w:bottom w:val="nil"/>
          <w:right w:val="nil"/>
          <w:between w:val="nil"/>
        </w:pBdr>
        <w:spacing w:before="246" w:line="229" w:lineRule="auto"/>
        <w:ind w:left="614" w:right="163" w:hanging="5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vista la comunicazione della Commissione del 19 marzo 2025, dal titolo  "</w:t>
      </w:r>
      <w:proofErr w:type="spellStart"/>
      <w:r>
        <w:rPr>
          <w:rFonts w:ascii="Times New Roman" w:eastAsia="Times New Roman" w:hAnsi="Times New Roman" w:cs="Times New Roman"/>
          <w:color w:val="000000"/>
          <w:sz w:val="24"/>
          <w:szCs w:val="24"/>
        </w:rPr>
        <w:t>Accommodating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increased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defence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expenditure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within</w:t>
      </w:r>
      <w:proofErr w:type="spell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Stability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Growth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Pact</w:t>
      </w:r>
      <w:proofErr w:type="spellEnd"/>
      <w:r>
        <w:rPr>
          <w:rFonts w:ascii="Times New Roman" w:eastAsia="Times New Roman" w:hAnsi="Times New Roman" w:cs="Times New Roman"/>
          <w:color w:val="000000"/>
          <w:sz w:val="24"/>
          <w:szCs w:val="24"/>
        </w:rPr>
        <w:t xml:space="preserve">"  (Integrare un aumento della spesa per la difesa nel patto di stabilità e crescita)  (C(2025)2000), </w:t>
      </w:r>
    </w:p>
    <w:p w:rsidR="00A95CCD" w:rsidRDefault="00B6332E">
      <w:pPr>
        <w:pStyle w:val="normal"/>
        <w:widowControl w:val="0"/>
        <w:pBdr>
          <w:top w:val="nil"/>
          <w:left w:val="nil"/>
          <w:bottom w:val="nil"/>
          <w:right w:val="nil"/>
          <w:between w:val="nil"/>
        </w:pBdr>
        <w:spacing w:before="246" w:line="229" w:lineRule="auto"/>
        <w:ind w:left="616" w:right="499" w:hanging="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visti i discorsi e le dichiarazioni formulati in occasione della conferenza di Monaco  sulla sicurezza tenutasi dal 14 al 16 febbraio 2025, </w:t>
      </w:r>
    </w:p>
    <w:p w:rsidR="00A95CCD" w:rsidRDefault="00B6332E">
      <w:pPr>
        <w:pStyle w:val="normal"/>
        <w:widowControl w:val="0"/>
        <w:pBdr>
          <w:top w:val="nil"/>
          <w:left w:val="nil"/>
          <w:bottom w:val="nil"/>
          <w:right w:val="nil"/>
          <w:between w:val="nil"/>
        </w:pBdr>
        <w:spacing w:before="246"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riunione dei leader tenutasi a Londra il 2 marzo 2025, </w:t>
      </w:r>
    </w:p>
    <w:p w:rsidR="00A95CCD" w:rsidRDefault="00B6332E">
      <w:pPr>
        <w:pStyle w:val="normal"/>
        <w:widowControl w:val="0"/>
        <w:pBdr>
          <w:top w:val="nil"/>
          <w:left w:val="nil"/>
          <w:bottom w:val="nil"/>
          <w:right w:val="nil"/>
          <w:between w:val="nil"/>
        </w:pBdr>
        <w:spacing w:before="235" w:line="429" w:lineRule="auto"/>
        <w:ind w:left="36" w:right="9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visti i piani della Commissione per un meccanismo europeo di vendite militari, – viste le conclusioni del Consiglio europeo del 20 marzo 2025, </w:t>
      </w:r>
    </w:p>
    <w:p w:rsidR="00A95CCD" w:rsidRDefault="00B6332E">
      <w:pPr>
        <w:pStyle w:val="normal"/>
        <w:widowControl w:val="0"/>
        <w:pBdr>
          <w:top w:val="nil"/>
          <w:left w:val="nil"/>
          <w:bottom w:val="nil"/>
          <w:right w:val="nil"/>
          <w:between w:val="nil"/>
        </w:pBdr>
        <w:spacing w:before="46"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visto l'articolo 55 del suo regolamento, </w:t>
      </w:r>
    </w:p>
    <w:p w:rsidR="00A95CCD" w:rsidRDefault="00B6332E">
      <w:pPr>
        <w:pStyle w:val="normal"/>
        <w:widowControl w:val="0"/>
        <w:pBdr>
          <w:top w:val="nil"/>
          <w:left w:val="nil"/>
          <w:bottom w:val="nil"/>
          <w:right w:val="nil"/>
          <w:between w:val="nil"/>
        </w:pBdr>
        <w:spacing w:before="235" w:line="240" w:lineRule="auto"/>
        <w:ind w:lef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vista la relazione della commissione per gli affari esteri (A10-0011/2025), </w:t>
      </w:r>
    </w:p>
    <w:p w:rsidR="00A95CCD" w:rsidRDefault="00B6332E">
      <w:pPr>
        <w:pStyle w:val="normal"/>
        <w:widowControl w:val="0"/>
        <w:pBdr>
          <w:top w:val="nil"/>
          <w:left w:val="nil"/>
          <w:bottom w:val="nil"/>
          <w:right w:val="nil"/>
          <w:between w:val="nil"/>
        </w:pBdr>
        <w:spacing w:before="235" w:line="229" w:lineRule="auto"/>
        <w:ind w:left="607" w:right="350"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considerando che, come confermato dalla valutazione dell'indice Normandia 2024</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questo ultimo anno è stato caratterizzato da un declino della pace e della sicurezza  globali dovuto, tra l'altro, a conflitti, rivalità geopolitiche, crescente militarizzazione,  terrorismo e minacce ibride; </w:t>
      </w:r>
    </w:p>
    <w:p w:rsidR="00A95CCD" w:rsidRDefault="00B6332E">
      <w:pPr>
        <w:pStyle w:val="normal"/>
        <w:widowControl w:val="0"/>
        <w:pBdr>
          <w:top w:val="nil"/>
          <w:left w:val="nil"/>
          <w:bottom w:val="nil"/>
          <w:right w:val="nil"/>
          <w:between w:val="nil"/>
        </w:pBdr>
        <w:spacing w:before="246" w:line="229" w:lineRule="auto"/>
        <w:ind w:left="605" w:right="33"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considerando che la guerra di aggressione in corso della Russia contro l'Ucraina, i  continui sforzi bellici e la cooperazione in materia di armamenti con altre potenze  autoritarie, che superano di gran lunga le scorte e le capacità produttive europee, e la  scelta del regime russo di minare l'ordine internazionale basato su regole e l'architettura  di sicurezza dell'Europa e di dichiarare guerra ai paesi europei o di cercare di  destabilizzarli al fine di realizzare la sua visione imperialista del mondo, rappresentano  la minaccia più grave e senza precedenti per la pace nel mondo, nonché per la sicurezza  e il territorio dell'UE e dei suoi Stati membri; che la Russia produce attualmente tre  milioni di granate di artiglieria all'anno, mentre l'ambizione dichiarata dall'UE  nell'ambito della sua prima strategia per l'industria europea della difesa (EDIS) mira a  una capacità di produzione di due milioni di granate all'anno entro la fine del 2025; che  il regime russo sta rafforzando i suoi legami con la leadership autocratica di Cina, Iran e  </w:t>
      </w:r>
    </w:p>
    <w:p w:rsidR="00A95CCD" w:rsidRDefault="00B6332E">
      <w:pPr>
        <w:pStyle w:val="normal"/>
        <w:widowControl w:val="0"/>
        <w:pBdr>
          <w:top w:val="nil"/>
          <w:left w:val="nil"/>
          <w:bottom w:val="nil"/>
          <w:right w:val="nil"/>
          <w:between w:val="nil"/>
        </w:pBdr>
        <w:spacing w:before="696" w:line="216" w:lineRule="auto"/>
        <w:ind w:left="602" w:right="176" w:hanging="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Studio dal titolo "</w:t>
      </w:r>
      <w:proofErr w:type="spellStart"/>
      <w:r>
        <w:rPr>
          <w:rFonts w:ascii="Times New Roman" w:eastAsia="Times New Roman" w:hAnsi="Times New Roman" w:cs="Times New Roman"/>
          <w:color w:val="000000"/>
          <w:sz w:val="24"/>
          <w:szCs w:val="24"/>
        </w:rPr>
        <w:t>Mapping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threats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peace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democracy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worldwide</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Normandy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2024" (Mappatura delle minacce per la pace e la democrazia nel mondo – indice  Normandia 2024), Parlamento europeo, Servizio di ricerca del Parlamento europeo,  settembre 2024.</w:t>
      </w:r>
    </w:p>
    <w:p w:rsidR="00A95CCD" w:rsidRDefault="00B6332E">
      <w:pPr>
        <w:pStyle w:val="normal"/>
        <w:widowControl w:val="0"/>
        <w:pBdr>
          <w:top w:val="nil"/>
          <w:left w:val="nil"/>
          <w:bottom w:val="nil"/>
          <w:right w:val="nil"/>
          <w:between w:val="nil"/>
        </w:pBdr>
        <w:spacing w:line="240" w:lineRule="auto"/>
        <w:ind w:left="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Corea del Nord per conseguire i suoi obiettivi; </w:t>
      </w:r>
    </w:p>
    <w:p w:rsidR="00A95CCD" w:rsidRDefault="00B6332E">
      <w:pPr>
        <w:pStyle w:val="normal"/>
        <w:widowControl w:val="0"/>
        <w:pBdr>
          <w:top w:val="nil"/>
          <w:left w:val="nil"/>
          <w:bottom w:val="nil"/>
          <w:right w:val="nil"/>
          <w:between w:val="nil"/>
        </w:pBdr>
        <w:spacing w:before="235" w:line="229" w:lineRule="auto"/>
        <w:ind w:left="604" w:right="30" w:hanging="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considerando che le recenti dichiarazioni di membri dell'amministrazione statunitense, a  cui si uniscono le forti pressioni esercitate sull'Ucraina dalla leadership statunitense,  riflettono un cambiamento nella politica estera degli Stati Uniti, come dimostrato dalla  proposta dell'amministrazione Trump di normalizzare i legami con la Russia, e che  appare sempre più chiaro che l'Europa ha bisogno di rafforzare la propria sicurezza e la  propria difesa per poter aiutare l'Ucraina e per difendersi; </w:t>
      </w:r>
    </w:p>
    <w:p w:rsidR="00A95CCD" w:rsidRDefault="00B6332E">
      <w:pPr>
        <w:pStyle w:val="normal"/>
        <w:widowControl w:val="0"/>
        <w:pBdr>
          <w:top w:val="nil"/>
          <w:left w:val="nil"/>
          <w:bottom w:val="nil"/>
          <w:right w:val="nil"/>
          <w:between w:val="nil"/>
        </w:pBdr>
        <w:spacing w:before="246" w:line="229" w:lineRule="auto"/>
        <w:ind w:left="612" w:right="46"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considerando che l'UE si trova altresì ad affrontare la gamma più diversificata e  complessa di minacce non militari dalla sua creazione, aggravate dalla guerra di  aggressione della Russia contro l'Ucraina, tra cui la manipolazione delle informazioni e  le ingerenze da parte di attori stranieri (</w:t>
      </w:r>
      <w:proofErr w:type="spellStart"/>
      <w:r>
        <w:rPr>
          <w:rFonts w:ascii="Times New Roman" w:eastAsia="Times New Roman" w:hAnsi="Times New Roman" w:cs="Times New Roman"/>
          <w:i/>
          <w:color w:val="000000"/>
          <w:sz w:val="24"/>
          <w:szCs w:val="24"/>
        </w:rPr>
        <w:t>foreign</w:t>
      </w:r>
      <w:proofErr w:type="spellEnd"/>
      <w:r>
        <w:rPr>
          <w:rFonts w:ascii="Times New Roman" w:eastAsia="Times New Roman" w:hAnsi="Times New Roman" w:cs="Times New Roman"/>
          <w:i/>
          <w:color w:val="000000"/>
          <w:sz w:val="24"/>
          <w:szCs w:val="24"/>
        </w:rPr>
        <w:t xml:space="preserve"> information </w:t>
      </w:r>
      <w:proofErr w:type="spellStart"/>
      <w:r>
        <w:rPr>
          <w:rFonts w:ascii="Times New Roman" w:eastAsia="Times New Roman" w:hAnsi="Times New Roman" w:cs="Times New Roman"/>
          <w:i/>
          <w:color w:val="000000"/>
          <w:sz w:val="24"/>
          <w:szCs w:val="24"/>
        </w:rPr>
        <w:t>manipulation</w:t>
      </w:r>
      <w:proofErr w:type="spellEnd"/>
      <w:r>
        <w:rPr>
          <w:rFonts w:ascii="Times New Roman" w:eastAsia="Times New Roman" w:hAnsi="Times New Roman" w:cs="Times New Roman"/>
          <w:i/>
          <w:color w:val="000000"/>
          <w:sz w:val="24"/>
          <w:szCs w:val="24"/>
        </w:rPr>
        <w:t xml:space="preserve"> and  </w:t>
      </w:r>
      <w:proofErr w:type="spellStart"/>
      <w:r>
        <w:rPr>
          <w:rFonts w:ascii="Times New Roman" w:eastAsia="Times New Roman" w:hAnsi="Times New Roman" w:cs="Times New Roman"/>
          <w:i/>
          <w:color w:val="000000"/>
          <w:sz w:val="24"/>
          <w:szCs w:val="24"/>
        </w:rPr>
        <w:t>interference</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 FIMI), gli attacchi informatici, la pressione economica, i ricatti alimentari  ed energetici, la </w:t>
      </w:r>
      <w:r>
        <w:rPr>
          <w:rFonts w:ascii="Times New Roman" w:eastAsia="Times New Roman" w:hAnsi="Times New Roman" w:cs="Times New Roman"/>
          <w:color w:val="000000"/>
          <w:sz w:val="24"/>
          <w:szCs w:val="24"/>
        </w:rPr>
        <w:lastRenderedPageBreak/>
        <w:t xml:space="preserve">strumentalizzazione della migrazione e le ingerenze politiche  sovversive; </w:t>
      </w:r>
    </w:p>
    <w:p w:rsidR="00A95CCD" w:rsidRDefault="00B6332E">
      <w:pPr>
        <w:pStyle w:val="normal"/>
        <w:widowControl w:val="0"/>
        <w:pBdr>
          <w:top w:val="nil"/>
          <w:left w:val="nil"/>
          <w:bottom w:val="nil"/>
          <w:right w:val="nil"/>
          <w:between w:val="nil"/>
        </w:pBdr>
        <w:spacing w:before="246" w:line="229" w:lineRule="auto"/>
        <w:ind w:left="605" w:right="117"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considerando che la Russia ha invaso e annesso illegalmente la Crimea e le regioni  ucraine di </w:t>
      </w:r>
      <w:proofErr w:type="spellStart"/>
      <w:r>
        <w:rPr>
          <w:rFonts w:ascii="Times New Roman" w:eastAsia="Times New Roman" w:hAnsi="Times New Roman" w:cs="Times New Roman"/>
          <w:color w:val="000000"/>
          <w:sz w:val="24"/>
          <w:szCs w:val="24"/>
        </w:rPr>
        <w:t>Donetsk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Kherson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Luhansk</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Zaporizhzhia</w:t>
      </w:r>
      <w:proofErr w:type="spellEnd"/>
      <w:r>
        <w:rPr>
          <w:rFonts w:ascii="Times New Roman" w:eastAsia="Times New Roman" w:hAnsi="Times New Roman" w:cs="Times New Roman"/>
          <w:color w:val="000000"/>
          <w:sz w:val="24"/>
          <w:szCs w:val="24"/>
        </w:rPr>
        <w:t>; che l'Ucraina deve essere dotata  delle capacità militari necessarie per tutto il tempo che le servirà per riportare una  vittoria militare decisiva, porre fine alla guerra di aggressione illegale della Russia,  ripristinare la propria sovranità e integrità territoriale entro i suoi confini riconosciuti a  livello internazionale e scoraggiare qualsiasi aggressione futura; che l'Ucraina, nel  difendere sé stessa, sta anche proteggendo i valori europei e gli interessi fondamentali  della sicurezza e combattendo per essi; che la Russia continua a occupare illegalmente  le regioni dell'</w:t>
      </w:r>
      <w:proofErr w:type="spellStart"/>
      <w:r>
        <w:rPr>
          <w:rFonts w:ascii="Times New Roman" w:eastAsia="Times New Roman" w:hAnsi="Times New Roman" w:cs="Times New Roman"/>
          <w:color w:val="000000"/>
          <w:sz w:val="24"/>
          <w:szCs w:val="24"/>
        </w:rPr>
        <w:t>Abkhazia</w:t>
      </w:r>
      <w:proofErr w:type="spellEnd"/>
      <w:r>
        <w:rPr>
          <w:rFonts w:ascii="Times New Roman" w:eastAsia="Times New Roman" w:hAnsi="Times New Roman" w:cs="Times New Roman"/>
          <w:color w:val="000000"/>
          <w:sz w:val="24"/>
          <w:szCs w:val="24"/>
        </w:rPr>
        <w:t xml:space="preserve"> e dell'Ossezia del Sud in Georgia e della regione della  </w:t>
      </w:r>
      <w:proofErr w:type="spellStart"/>
      <w:r>
        <w:rPr>
          <w:rFonts w:ascii="Times New Roman" w:eastAsia="Times New Roman" w:hAnsi="Times New Roman" w:cs="Times New Roman"/>
          <w:color w:val="000000"/>
          <w:sz w:val="24"/>
          <w:szCs w:val="24"/>
        </w:rPr>
        <w:t>Transnistria</w:t>
      </w:r>
      <w:proofErr w:type="spellEnd"/>
      <w:r>
        <w:rPr>
          <w:rFonts w:ascii="Times New Roman" w:eastAsia="Times New Roman" w:hAnsi="Times New Roman" w:cs="Times New Roman"/>
          <w:color w:val="000000"/>
          <w:sz w:val="24"/>
          <w:szCs w:val="24"/>
        </w:rPr>
        <w:t xml:space="preserve"> in Moldova; </w:t>
      </w:r>
    </w:p>
    <w:p w:rsidR="00A95CCD" w:rsidRDefault="00B6332E">
      <w:pPr>
        <w:pStyle w:val="normal"/>
        <w:widowControl w:val="0"/>
        <w:pBdr>
          <w:top w:val="nil"/>
          <w:left w:val="nil"/>
          <w:bottom w:val="nil"/>
          <w:right w:val="nil"/>
          <w:between w:val="nil"/>
        </w:pBdr>
        <w:spacing w:before="246" w:line="229" w:lineRule="auto"/>
        <w:ind w:left="606" w:right="24"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considerando che la nuova amministrazione statunitense sta attivamente cercando di  convincere la Russia ad accettare un accordo di pace ma, malgrado le due telefonate tra  i presidenti Trump e Putin, il 12 febbraio e il 18 marzo 2025, nonché diversi cicli di  negoziati diretti tra gli Stati Uniti e la Russia in Arabia Saudita, la Russia ha finora  evitato di fornire una risposta chiara a qualsiasi proposta di cessate il fuoco e ha  costantemente stabilito condizioni per un cessate il fuoco; che, nonostante le sue  ripetute critiche, finora l'UE non è stata adeguatamente rappresentata nei negoziati per il  cessate il fuoco e la pace in Ucraina; </w:t>
      </w:r>
    </w:p>
    <w:p w:rsidR="00A95CCD" w:rsidRDefault="00B6332E">
      <w:pPr>
        <w:pStyle w:val="normal"/>
        <w:widowControl w:val="0"/>
        <w:pBdr>
          <w:top w:val="nil"/>
          <w:left w:val="nil"/>
          <w:bottom w:val="nil"/>
          <w:right w:val="nil"/>
          <w:between w:val="nil"/>
        </w:pBdr>
        <w:spacing w:before="246" w:line="229" w:lineRule="auto"/>
        <w:ind w:left="604" w:right="79"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considerando che, spinta dall'ambizione di diventare una superpotenza globale, la Cina  sta erodendo l'ordine internazionale basato su regole, perseguendo politiche estere  sempre più assertive e ostili in ambito economico e competitivo ed esportando beni a  duplice uso utilizzati dalla Russia sul campo di battaglia contro l'Ucraina, minacciando  in tal modo gli interessi europei; che la Cina si sta anche armando pesantemente sul  piano militare, sta sfruttando il suo potere economico per reprimere le critiche a livello  mondiale e sta cercando di affermarsi come potenza dominante nella regione indo pacifica; che la Cina, intensificando le sue azioni conflittuali, aggressive e intimidatorie  contro alcuni dei suoi vicini, in particolare nello stretto di Taiwan e nel Mar cinese  meridionale, rappresenta un rischio per la sicurezza regionale e globale; </w:t>
      </w:r>
    </w:p>
    <w:p w:rsidR="00A95CCD" w:rsidRDefault="00B6332E">
      <w:pPr>
        <w:pStyle w:val="normal"/>
        <w:widowControl w:val="0"/>
        <w:pBdr>
          <w:top w:val="nil"/>
          <w:left w:val="nil"/>
          <w:bottom w:val="nil"/>
          <w:right w:val="nil"/>
          <w:between w:val="nil"/>
        </w:pBdr>
        <w:spacing w:before="246" w:line="229" w:lineRule="auto"/>
        <w:ind w:left="607" w:right="141"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 considerando che la Cina ha promosso per molti anni una narrazione alternativa,  mettendo in discussione i diritti umani, i valori democratici e i mercati aperti nelle sedi  multilaterali e internazionali; che la crescente influenza della Cina nelle organizzazioni  internazionali ha impedito progressi positivi e ha escluso ulteriormente Taiwan da una </w:t>
      </w:r>
    </w:p>
    <w:p w:rsidR="00A95CCD" w:rsidRDefault="00B6332E">
      <w:pPr>
        <w:pStyle w:val="normal"/>
        <w:widowControl w:val="0"/>
        <w:pBdr>
          <w:top w:val="nil"/>
          <w:left w:val="nil"/>
          <w:bottom w:val="nil"/>
          <w:right w:val="nil"/>
          <w:between w:val="nil"/>
        </w:pBdr>
        <w:spacing w:line="240" w:lineRule="auto"/>
        <w:ind w:left="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partecipazione legittima e significativa a tali organizzazioni; </w:t>
      </w:r>
    </w:p>
    <w:p w:rsidR="00A95CCD" w:rsidRDefault="00B6332E">
      <w:pPr>
        <w:pStyle w:val="normal"/>
        <w:widowControl w:val="0"/>
        <w:pBdr>
          <w:top w:val="nil"/>
          <w:left w:val="nil"/>
          <w:bottom w:val="nil"/>
          <w:right w:val="nil"/>
          <w:between w:val="nil"/>
        </w:pBdr>
        <w:spacing w:before="235" w:line="229" w:lineRule="auto"/>
        <w:ind w:left="613" w:right="266" w:hanging="5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considerando che il contesto di sicurezza dell'UE si è deteriorato non solo nell'Europa  orientale, ma anche nel vicinato meridionale e oltre; </w:t>
      </w:r>
    </w:p>
    <w:p w:rsidR="00A95CCD" w:rsidRDefault="00B6332E">
      <w:pPr>
        <w:pStyle w:val="normal"/>
        <w:widowControl w:val="0"/>
        <w:pBdr>
          <w:top w:val="nil"/>
          <w:left w:val="nil"/>
          <w:bottom w:val="nil"/>
          <w:right w:val="nil"/>
          <w:between w:val="nil"/>
        </w:pBdr>
        <w:spacing w:before="246" w:line="229" w:lineRule="auto"/>
        <w:ind w:left="606" w:right="76"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 considerando che gli spregevoli attacchi terroristici perpetrati da Hamas contro Israele,  la guerra in corso a Gaza e le operazioni militari contro Hezbollah in territorio libanese  hanno aumentato notevolmente il pericolo di uno scontro militare regionale in Medio  Oriente e che da decenni non si raggiungeva un rischio di escalation così elevato nella  regione; che gli attacchi attualmente lanciati nel Mar Rosso dalle zone dello Yemen  controllate dagli </w:t>
      </w:r>
      <w:proofErr w:type="spellStart"/>
      <w:r>
        <w:rPr>
          <w:rFonts w:ascii="Times New Roman" w:eastAsia="Times New Roman" w:hAnsi="Times New Roman" w:cs="Times New Roman"/>
          <w:color w:val="000000"/>
          <w:sz w:val="24"/>
          <w:szCs w:val="24"/>
        </w:rPr>
        <w:t>Houthi</w:t>
      </w:r>
      <w:proofErr w:type="spellEnd"/>
      <w:r>
        <w:rPr>
          <w:rFonts w:ascii="Times New Roman" w:eastAsia="Times New Roman" w:hAnsi="Times New Roman" w:cs="Times New Roman"/>
          <w:color w:val="000000"/>
          <w:sz w:val="24"/>
          <w:szCs w:val="24"/>
        </w:rPr>
        <w:t xml:space="preserve">, con il sostegno dell'Iran, nonché i dirottamenti di navi  commerciali dal Mar Rosso all'Oceano Indiano nordoccidentale da parte di pirati  somali, rappresentano una grave minaccia per la libertà di navigazione, la sicurezza  marittima e il commercio internazionale; che altri attacchi lanciati in Iraq e in Siria da  varie milizie sostenute dall'Iran stanno aggravando il rischio di escalation nella regione;  che l'UE ha avviato la propria operazione militare EUNAVFOR ASPIDES per  migliorare la situazione della sicurezza nella regione; </w:t>
      </w:r>
    </w:p>
    <w:p w:rsidR="00A95CCD" w:rsidRDefault="00B6332E">
      <w:pPr>
        <w:pStyle w:val="normal"/>
        <w:widowControl w:val="0"/>
        <w:pBdr>
          <w:top w:val="nil"/>
          <w:left w:val="nil"/>
          <w:bottom w:val="nil"/>
          <w:right w:val="nil"/>
          <w:between w:val="nil"/>
        </w:pBdr>
        <w:spacing w:before="246" w:line="229" w:lineRule="auto"/>
        <w:ind w:left="609" w:right="147"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 considerando che i paesi del vicinato orientale e dei Balcani occidentali devono far  fronte a minacce sempre più diversificate alla loro sicurezza e risentono negativamente  della guerra di aggressione della Russia contro l'Ucraina, nonché dell'accresciuta  assertività degli attori regionali e globali come la Cina; che il Kosovo e il dialogo tra  Belgrado e Pristina, facilitato dall'UE, sono esposti in particolare a minacce di  destabilizzazione; </w:t>
      </w:r>
    </w:p>
    <w:p w:rsidR="00A95CCD" w:rsidRDefault="00B6332E">
      <w:pPr>
        <w:pStyle w:val="normal"/>
        <w:widowControl w:val="0"/>
        <w:pBdr>
          <w:top w:val="nil"/>
          <w:left w:val="nil"/>
          <w:bottom w:val="nil"/>
          <w:right w:val="nil"/>
          <w:between w:val="nil"/>
        </w:pBdr>
        <w:spacing w:before="246" w:line="229" w:lineRule="auto"/>
        <w:ind w:left="606" w:right="-5"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 considerando che l'impatto disastroso delle guerre passate o in corso, l'instabilità,  l'insicurezza, la povertà e i cambiamenti climatici nella regione del Sahel, nell'Africa  nordorientale e in Libia pongono seri rischi per la sicurezza dell'UE e i suoi interessi  economici e commerciali; che l'instabilità e l'insicurezza nel vicinato meridionale e nella  regione del Sahel sono strettamente connesse alla gestione delle frontiere esterne  dell'UE e continuano a rappresentare una sfida per tale gestione; che la missione dell'UE  di assistenza alle frontiere in Libia e l'operazione EUNAVFOR MED IRINI  contribuiscono alla pace, alla sicurezza e alla stabilità sostenibili attraverso l'attuazione  dell'embargo sulle armi, la lotta alle armi illegali e alla tratta di esseri umani e la  formazione della guardia costiera libica; </w:t>
      </w:r>
    </w:p>
    <w:p w:rsidR="00A95CCD" w:rsidRDefault="00B6332E">
      <w:pPr>
        <w:pStyle w:val="normal"/>
        <w:widowControl w:val="0"/>
        <w:pBdr>
          <w:top w:val="nil"/>
          <w:left w:val="nil"/>
          <w:bottom w:val="nil"/>
          <w:right w:val="nil"/>
          <w:between w:val="nil"/>
        </w:pBdr>
        <w:spacing w:before="246" w:line="229" w:lineRule="auto"/>
        <w:ind w:left="613" w:right="589" w:hanging="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 considerando che una parte di Cipro, uno Stato membro dell'UE, continua a essere  occupata illegalmente dalla Turchia; </w:t>
      </w:r>
    </w:p>
    <w:p w:rsidR="00A95CCD" w:rsidRDefault="00B6332E">
      <w:pPr>
        <w:pStyle w:val="normal"/>
        <w:widowControl w:val="0"/>
        <w:pBdr>
          <w:top w:val="nil"/>
          <w:left w:val="nil"/>
          <w:bottom w:val="nil"/>
          <w:right w:val="nil"/>
          <w:between w:val="nil"/>
        </w:pBdr>
        <w:spacing w:before="246" w:line="229" w:lineRule="auto"/>
        <w:ind w:left="612" w:right="99" w:hanging="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 considerando che la regione artica sta diventando sempre più importante in termini  geopolitici, di sviluppo economico e di trasporti e, al contempo, sta affrontando le sfide  legate ai cambiamenti climatici, alla militarizzazione e alla migrazione; </w:t>
      </w:r>
    </w:p>
    <w:p w:rsidR="00A95CCD" w:rsidRDefault="00B6332E">
      <w:pPr>
        <w:pStyle w:val="normal"/>
        <w:widowControl w:val="0"/>
        <w:pBdr>
          <w:top w:val="nil"/>
          <w:left w:val="nil"/>
          <w:bottom w:val="nil"/>
          <w:right w:val="nil"/>
          <w:between w:val="nil"/>
        </w:pBdr>
        <w:spacing w:before="246" w:line="229" w:lineRule="auto"/>
        <w:ind w:left="602"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 considerando che gli insufficienti investimenti nella difesa da parte degli Stati membri  dell'UE in passato hanno comportato una carenza di investimenti; che gli Stati membri  hanno convenuto di aumentare le spese destinate a una difesa migliore e più intelligente;  che nel 2024 si prevedeva che 16 Stati membri dell'UE, che sono anche alleati della  NATO, rispetto ai 9 del 2023, avrebbero superato gli orientamenti della NATO e  avrebbero destinato almeno il 2 % del loro prodotto interno lordo (PIL) alla difesa; che  un numero crescente di esperti ritiene necessario fissare un obiettivo in materia di  investimenti nel settore della difesa pari al 3 % del PIL, alla luce della minaccia diretta  che la Russia rappresenta per l'UE e i suoi Stati membri; </w:t>
      </w:r>
    </w:p>
    <w:p w:rsidR="00A95CCD" w:rsidRDefault="00B6332E">
      <w:pPr>
        <w:pStyle w:val="normal"/>
        <w:widowControl w:val="0"/>
        <w:pBdr>
          <w:top w:val="nil"/>
          <w:left w:val="nil"/>
          <w:bottom w:val="nil"/>
          <w:right w:val="nil"/>
          <w:between w:val="nil"/>
        </w:pBdr>
        <w:spacing w:line="229" w:lineRule="auto"/>
        <w:ind w:left="613" w:right="18" w:hanging="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 considerando che nel 2023 il Parlamento e il Consiglio hanno concluso accordi sullo  strumento per il rafforzamento dell'industria europea della difesa mediante appalti  comuni (EDIRPA) e sulla legge sul sostegno alla produzione di munizioni (ASAP), che,  quali misure di emergenza a breve termine, mirano a incoraggiare l'acquisto congiunto  di prodotti per la difesa, a potenziare la capacità produttiva dell'industria europea della  difesa, a ricostituire le scorte esaurite e a ridurre la frammentazione del settore degli  appalti pubblici in materia di difesa; </w:t>
      </w:r>
    </w:p>
    <w:p w:rsidR="00A95CCD" w:rsidRDefault="00B6332E">
      <w:pPr>
        <w:pStyle w:val="normal"/>
        <w:widowControl w:val="0"/>
        <w:pBdr>
          <w:top w:val="nil"/>
          <w:left w:val="nil"/>
          <w:bottom w:val="nil"/>
          <w:right w:val="nil"/>
          <w:between w:val="nil"/>
        </w:pBdr>
        <w:spacing w:before="246" w:line="229" w:lineRule="auto"/>
        <w:ind w:left="604" w:right="583"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 considerando che nel 2024 la Commissione ha pubblicato le sue proposte per la  definizione di una strategia per l'industria europea della difesa (EDIS) e di un  programma per l'industria europea della difesa (EDIP), riguardanti in particolare il  potenziamento delle capacità di sicurezza e di difesa dell'UE; </w:t>
      </w:r>
    </w:p>
    <w:p w:rsidR="00A95CCD" w:rsidRDefault="00B6332E">
      <w:pPr>
        <w:pStyle w:val="normal"/>
        <w:widowControl w:val="0"/>
        <w:pBdr>
          <w:top w:val="nil"/>
          <w:left w:val="nil"/>
          <w:bottom w:val="nil"/>
          <w:right w:val="nil"/>
          <w:between w:val="nil"/>
        </w:pBdr>
        <w:spacing w:before="246" w:line="229" w:lineRule="auto"/>
        <w:ind w:left="607" w:right="120"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 considerando che la costruzione di capacità di difesa e il loro adattamento alle esigenze  militari richiedono una cultura strategica comune, una percezione della minaccia e  soluzioni da sviluppare e armonizzare in termini di dottrina e concetti; </w:t>
      </w:r>
    </w:p>
    <w:p w:rsidR="00A95CCD" w:rsidRDefault="00B6332E">
      <w:pPr>
        <w:pStyle w:val="normal"/>
        <w:widowControl w:val="0"/>
        <w:pBdr>
          <w:top w:val="nil"/>
          <w:left w:val="nil"/>
          <w:bottom w:val="nil"/>
          <w:right w:val="nil"/>
          <w:between w:val="nil"/>
        </w:pBdr>
        <w:spacing w:before="246" w:line="229" w:lineRule="auto"/>
        <w:ind w:left="604" w:right="80"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 considerando che l'eccezione al principio di finanziamento a carico del bilancio  dell'Unione di cui all'articolo 41, paragrafo 2, TUE si applica soltanto alle spese  derivanti da operazioni che hanno implicazioni nel settore militare o della difesa; che in  tutti gli altri casi il VP/AR, unitamente alla Commissione, ove necessario, dovrebbe  </w:t>
      </w:r>
      <w:r>
        <w:rPr>
          <w:rFonts w:ascii="Times New Roman" w:eastAsia="Times New Roman" w:hAnsi="Times New Roman" w:cs="Times New Roman"/>
          <w:color w:val="000000"/>
          <w:sz w:val="24"/>
          <w:szCs w:val="24"/>
        </w:rPr>
        <w:lastRenderedPageBreak/>
        <w:t xml:space="preserve">proporre che le spese connesse alla PESC o alla PSDC siano finanziate a carico del  bilancio dell'UE; che l'articolo 14, paragrafo 1, e l'articolo 16, paragrafo 1, TUE  stabiliscono un equilibrio tra il Parlamento e il Consiglio per quanto riguarda le loro  funzioni di bilancio; che la pratica attuale non riflette tale equilibrio; </w:t>
      </w:r>
    </w:p>
    <w:p w:rsidR="00A95CCD" w:rsidRDefault="00B6332E">
      <w:pPr>
        <w:pStyle w:val="normal"/>
        <w:widowControl w:val="0"/>
        <w:pBdr>
          <w:top w:val="nil"/>
          <w:left w:val="nil"/>
          <w:bottom w:val="nil"/>
          <w:right w:val="nil"/>
          <w:between w:val="nil"/>
        </w:pBdr>
        <w:spacing w:before="246" w:line="229" w:lineRule="auto"/>
        <w:ind w:left="604" w:right="132"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 considerando che la relazione Draghi evidenzia una combinazione di debolezze  strutturali che incidono sulla competitività della base industriale e tecnologica di difesa  dell'UE (DTIB) e individua una realtà frammentata, una spesa pubblica per la difesa  insufficiente e un accesso limitato ai finanziamenti; che la politica di prestito della  Banca europea per gli investimenti (BEI) esclude il finanziamento di munizioni e armi,  nonché di attrezzature o infrastrutture destinate esclusivamente a usi militari e di  polizia; </w:t>
      </w:r>
    </w:p>
    <w:p w:rsidR="00A95CCD" w:rsidRDefault="00B6332E">
      <w:pPr>
        <w:pStyle w:val="normal"/>
        <w:widowControl w:val="0"/>
        <w:pBdr>
          <w:top w:val="nil"/>
          <w:left w:val="nil"/>
          <w:bottom w:val="nil"/>
          <w:right w:val="nil"/>
          <w:between w:val="nil"/>
        </w:pBdr>
        <w:spacing w:before="246" w:line="229" w:lineRule="auto"/>
        <w:ind w:left="604" w:right="70" w:hanging="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 considerando che la relazione </w:t>
      </w:r>
      <w:proofErr w:type="spellStart"/>
      <w:r>
        <w:rPr>
          <w:rFonts w:ascii="Times New Roman" w:eastAsia="Times New Roman" w:hAnsi="Times New Roman" w:cs="Times New Roman"/>
          <w:color w:val="000000"/>
          <w:sz w:val="24"/>
          <w:szCs w:val="24"/>
        </w:rPr>
        <w:t>Niinistö</w:t>
      </w:r>
      <w:proofErr w:type="spellEnd"/>
      <w:r>
        <w:rPr>
          <w:rFonts w:ascii="Times New Roman" w:eastAsia="Times New Roman" w:hAnsi="Times New Roman" w:cs="Times New Roman"/>
          <w:color w:val="000000"/>
          <w:sz w:val="24"/>
          <w:szCs w:val="24"/>
        </w:rPr>
        <w:t xml:space="preserve"> sottolinea che l'UE e i suoi Stati membri non  sono ancora del tutto preparati per gli scenari di crisi intersettoriali o multidimensionali  più gravi, soprattutto in considerazione dell'ulteriore deterioramento del contesto  esterno; che secondo la relazione molte minacce sono già costantemente in atto; che la  relazione evidenzia le necessità di una preparazione adeguata per lanciare un segnale ai  potenziali avversari riguardo al fatto che non saranno in grado di resistere all'UE; che la  relazione deplora che l'Unione non disponga di un piano comune in caso di aggressione  armata ed evidenzia che l'UE deve riconsiderare il modo in cui definisce la propria  sicurezza; che la relazione sottolinea l'importanza che l'UE sia pronta ad agire a  sostegno di uno Stato membro in caso di aggressione armata esterna e di sbloccare  ulteriormente il potenziale dell'UE per una cooperazione civile-militare rafforzata e  infrastrutture e tecnologie a duplice uso, attraverso l'ottimizzazione dell'uso di risorse  scarse e il rafforzamento di meccanismi di coordinamento per le situazioni di crisi più  gravi; </w:t>
      </w:r>
    </w:p>
    <w:p w:rsidR="00A95CCD" w:rsidRDefault="00B6332E">
      <w:pPr>
        <w:pStyle w:val="normal"/>
        <w:widowControl w:val="0"/>
        <w:pBdr>
          <w:top w:val="nil"/>
          <w:left w:val="nil"/>
          <w:bottom w:val="nil"/>
          <w:right w:val="nil"/>
          <w:between w:val="nil"/>
        </w:pBdr>
        <w:spacing w:before="246" w:line="229" w:lineRule="auto"/>
        <w:ind w:left="40" w:right="6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considerando che l'integrazione dell'intelligenza artificiale nel settore della sicurezza e  della difesa, comprese le tecnologie legate agli armamenti, incide sulle operazioni  militari consentendo ai sistemi autonomi, all'analisi predittiva e alle capacità decisionali </w:t>
      </w:r>
    </w:p>
    <w:p w:rsidR="00A95CCD" w:rsidRDefault="00B6332E">
      <w:pPr>
        <w:pStyle w:val="normal"/>
        <w:widowControl w:val="0"/>
        <w:pBdr>
          <w:top w:val="nil"/>
          <w:left w:val="nil"/>
          <w:bottom w:val="nil"/>
          <w:right w:val="nil"/>
          <w:between w:val="nil"/>
        </w:pBdr>
        <w:spacing w:line="229" w:lineRule="auto"/>
        <w:ind w:left="604" w:right="112" w:firstLine="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migliorate di svolgere un ruolo significativo sui campi di battaglia; che questo sviluppo  presenta sia opportunità senza precedenti che rischi significativi; </w:t>
      </w:r>
    </w:p>
    <w:p w:rsidR="00A95CCD" w:rsidRDefault="00B6332E">
      <w:pPr>
        <w:pStyle w:val="normal"/>
        <w:widowControl w:val="0"/>
        <w:pBdr>
          <w:top w:val="nil"/>
          <w:left w:val="nil"/>
          <w:bottom w:val="nil"/>
          <w:right w:val="nil"/>
          <w:between w:val="nil"/>
        </w:pBdr>
        <w:spacing w:before="246" w:line="229" w:lineRule="auto"/>
        <w:ind w:left="604" w:right="13"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 considerando che attualmente sono in corso, nel quadro della PSDC, tredici missioni  civili, otto operazioni militari e una missione civile-militare, con il dispiego di circa  5 000 persone in tre continenti; che dalle analisi svolte dal Servizio europeo per l'azione  esterna risulta che tali missioni e operazioni continuano a risentire del mancato rispetto  degli impegni, assunti dagli Stati membri, relativi alla fornitura di personale militare o  civile in numero sufficiente; che tali missioni e operazioni risentono inoltre dell'assenza  di un processo decisionale rapido come pure della mancanza di flessibilità e  adattamento alle specifiche esigenze locali sul campo; che questi ostacoli limitano  l'efficacia complessiva delle missioni e delle operazioni PSDC; che uno degli obiettivi  della bussola strategica consiste nel rafforzare le missioni e le operazioni civili e militari  dell'UE in ambito PSDC, attribuendo loro mandati più solidi e adattabili, promuovendo  processi decisionali rapidi e più flessibili e garantendo una maggiore solidarietà  finanziaria; che le missioni e le operazioni dell'UE sono spesso oggetto di minacce  ibride, tra cui la disinformazione, che ne compromettono l'efficacia nella stabilizzazione  dei paesi in cui sono condotte e rafforzano invece l'instabilità preesistente, spesso  avvantaggiando attori non statali malevoli; </w:t>
      </w:r>
    </w:p>
    <w:p w:rsidR="00A95CCD" w:rsidRDefault="00B6332E">
      <w:pPr>
        <w:pStyle w:val="normal"/>
        <w:widowControl w:val="0"/>
        <w:pBdr>
          <w:top w:val="nil"/>
          <w:left w:val="nil"/>
          <w:bottom w:val="nil"/>
          <w:right w:val="nil"/>
          <w:between w:val="nil"/>
        </w:pBdr>
        <w:spacing w:before="246" w:line="229" w:lineRule="auto"/>
        <w:ind w:left="604" w:right="63"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considerando che le missioni e le operazioni PSDC rafforzano notevolmente la  resilienza e la stabilità del vicinato europeo, anche nel Mediterraneo, nei Balcani  occidentali, nei paesi del partenariato orientale, nella regione del Sahel e nel Corno  d'Africa, offrendo </w:t>
      </w:r>
      <w:r>
        <w:rPr>
          <w:rFonts w:ascii="Times New Roman" w:eastAsia="Times New Roman" w:hAnsi="Times New Roman" w:cs="Times New Roman"/>
          <w:color w:val="000000"/>
          <w:sz w:val="24"/>
          <w:szCs w:val="24"/>
        </w:rPr>
        <w:lastRenderedPageBreak/>
        <w:t xml:space="preserve">servizi di formazione e sviluppo di capacità a livello di forze militari,  polizia, guardia costiera e gestione dei confini; </w:t>
      </w:r>
    </w:p>
    <w:p w:rsidR="00A95CCD" w:rsidRDefault="00B6332E">
      <w:pPr>
        <w:pStyle w:val="normal"/>
        <w:widowControl w:val="0"/>
        <w:pBdr>
          <w:top w:val="nil"/>
          <w:left w:val="nil"/>
          <w:bottom w:val="nil"/>
          <w:right w:val="nil"/>
          <w:between w:val="nil"/>
        </w:pBdr>
        <w:spacing w:before="246" w:line="229" w:lineRule="auto"/>
        <w:ind w:left="607" w:right="44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 considerando che l'UE fornisce assistenza alla guardia costiera libica attraverso la  missione dell'UE di assistenza alle frontiere in Libia (EUBAM Libia) e l'operazione  EUNAVFOR MED IRINI; che l'obiettivo principale di EUNAVFOR MED IRINI è  sostenere l'attuazione dell'embargo sulle armi imposto alla Libia dal Consiglio di  sicurezza delle Nazioni Unite; che il Consiglio dell'UE ha prorogato il mandato  dell'operazione EUNAVFOR MED IRINI fino al 31 marzo 2025 attribuendole il  compito di addestrare la guardia costiera e la marina libiche; </w:t>
      </w:r>
    </w:p>
    <w:p w:rsidR="00A95CCD" w:rsidRDefault="00B6332E">
      <w:pPr>
        <w:pStyle w:val="normal"/>
        <w:widowControl w:val="0"/>
        <w:pBdr>
          <w:top w:val="nil"/>
          <w:left w:val="nil"/>
          <w:bottom w:val="nil"/>
          <w:right w:val="nil"/>
          <w:between w:val="nil"/>
        </w:pBdr>
        <w:spacing w:before="246" w:line="229" w:lineRule="auto"/>
        <w:ind w:left="606" w:right="166" w:hanging="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 considerando che l'operazione </w:t>
      </w:r>
      <w:proofErr w:type="spellStart"/>
      <w:r>
        <w:rPr>
          <w:rFonts w:ascii="Times New Roman" w:eastAsia="Times New Roman" w:hAnsi="Times New Roman" w:cs="Times New Roman"/>
          <w:color w:val="000000"/>
          <w:sz w:val="24"/>
          <w:szCs w:val="24"/>
        </w:rPr>
        <w:t>Althea</w:t>
      </w:r>
      <w:proofErr w:type="spellEnd"/>
      <w:r>
        <w:rPr>
          <w:rFonts w:ascii="Times New Roman" w:eastAsia="Times New Roman" w:hAnsi="Times New Roman" w:cs="Times New Roman"/>
          <w:color w:val="000000"/>
          <w:sz w:val="24"/>
          <w:szCs w:val="24"/>
        </w:rPr>
        <w:t xml:space="preserve"> dell'EUFOR definisce un percorso verso la pace,  la stabilizzazione e l'integrazione europea della Bosnia-Erzegovina e svolge tuttora un  ruolo centrale nel garantire la sicurezza e la stabilità del paese e della regione; che  all'inizio di marzo 2025 sono stati schierati 400 soldati supplementari per sostenere  l'operazione </w:t>
      </w:r>
      <w:proofErr w:type="spellStart"/>
      <w:r>
        <w:rPr>
          <w:rFonts w:ascii="Times New Roman" w:eastAsia="Times New Roman" w:hAnsi="Times New Roman" w:cs="Times New Roman"/>
          <w:color w:val="000000"/>
          <w:sz w:val="24"/>
          <w:szCs w:val="24"/>
        </w:rPr>
        <w:t>Althea</w:t>
      </w:r>
      <w:proofErr w:type="spellEnd"/>
      <w:r>
        <w:rPr>
          <w:rFonts w:ascii="Times New Roman" w:eastAsia="Times New Roman" w:hAnsi="Times New Roman" w:cs="Times New Roman"/>
          <w:color w:val="000000"/>
          <w:sz w:val="24"/>
          <w:szCs w:val="24"/>
        </w:rPr>
        <w:t xml:space="preserve"> dell'EUFOR in un contesto di maggiore incertezza nel paese a  seguito della sentenza del Tribunale della Bosnia-Erzegovina del 26 febbraio 2025 nel  caso relativo a </w:t>
      </w:r>
      <w:proofErr w:type="spellStart"/>
      <w:r>
        <w:rPr>
          <w:rFonts w:ascii="Times New Roman" w:eastAsia="Times New Roman" w:hAnsi="Times New Roman" w:cs="Times New Roman"/>
          <w:color w:val="000000"/>
          <w:sz w:val="24"/>
          <w:szCs w:val="24"/>
        </w:rPr>
        <w:t>Milorad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Dodik</w:t>
      </w:r>
      <w:proofErr w:type="spellEnd"/>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40" w:right="25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AA. considerando che il 17 maggio 2024 l'UE ha concluso il mandato della missione di  formazione dell'UE in Mali (EUTM); che il 30 giugno 2024 ha concluso il mandato  della missione di partenariato militare dell'Unione europea in Niger (EUMPM) e il 30  settembre 2024 ha posto fine alla missione di terra del personale della missione  dell'Unione europea per lo sviluppo delle capacità in Niger (EUCAP Sahel Niger); </w:t>
      </w:r>
    </w:p>
    <w:p w:rsidR="00A95CCD" w:rsidRDefault="00B6332E">
      <w:pPr>
        <w:pStyle w:val="normal"/>
        <w:widowControl w:val="0"/>
        <w:pBdr>
          <w:top w:val="nil"/>
          <w:left w:val="nil"/>
          <w:bottom w:val="nil"/>
          <w:right w:val="nil"/>
          <w:between w:val="nil"/>
        </w:pBdr>
        <w:spacing w:before="246" w:line="229" w:lineRule="auto"/>
        <w:ind w:left="40" w:right="18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 considerando che per il periodo 2021-2027 l'UE destinerà 1,5 miliardi di EUR al  sostegno delle iniziative per la prevenzione dei conflitti, la pace e la sicurezza a livello  nazionale e regionale nell'Africa </w:t>
      </w:r>
      <w:proofErr w:type="spellStart"/>
      <w:r>
        <w:rPr>
          <w:rFonts w:ascii="Times New Roman" w:eastAsia="Times New Roman" w:hAnsi="Times New Roman" w:cs="Times New Roman"/>
          <w:color w:val="000000"/>
          <w:sz w:val="24"/>
          <w:szCs w:val="24"/>
        </w:rPr>
        <w:t>subsahariana</w:t>
      </w:r>
      <w:proofErr w:type="spellEnd"/>
      <w:r>
        <w:rPr>
          <w:rFonts w:ascii="Times New Roman" w:eastAsia="Times New Roman" w:hAnsi="Times New Roman" w:cs="Times New Roman"/>
          <w:color w:val="000000"/>
          <w:sz w:val="24"/>
          <w:szCs w:val="24"/>
        </w:rPr>
        <w:t xml:space="preserve">; che l'Africa riceve ulteriore sostegno  anche nel quadro dello strumento europeo per la pace (EPF), che consente all'UE di </w:t>
      </w:r>
    </w:p>
    <w:p w:rsidR="00A95CCD" w:rsidRDefault="00B6332E">
      <w:pPr>
        <w:pStyle w:val="normal"/>
        <w:widowControl w:val="0"/>
        <w:pBdr>
          <w:top w:val="nil"/>
          <w:left w:val="nil"/>
          <w:bottom w:val="nil"/>
          <w:right w:val="nil"/>
          <w:between w:val="nil"/>
        </w:pBdr>
        <w:spacing w:line="240" w:lineRule="auto"/>
        <w:ind w:left="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fornire tutti i tipi di attrezzature e infrastrutture alle forze armate dei suoi partner; </w:t>
      </w:r>
    </w:p>
    <w:p w:rsidR="00A95CCD" w:rsidRDefault="00B6332E">
      <w:pPr>
        <w:pStyle w:val="normal"/>
        <w:widowControl w:val="0"/>
        <w:pBdr>
          <w:top w:val="nil"/>
          <w:left w:val="nil"/>
          <w:bottom w:val="nil"/>
          <w:right w:val="nil"/>
          <w:between w:val="nil"/>
        </w:pBdr>
        <w:spacing w:before="235" w:line="229" w:lineRule="auto"/>
        <w:ind w:left="606" w:right="59"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 considerando che l'UE e i suoi Stati membri si trovano ad affrontare crescenti attacchi  ibridi sul loro territorio, tra cui infiltrazioni politiche e sabotaggi, volti a minare un sano  dibattito politico e la fiducia dei cittadini dell'UE nelle istituzioni democratiche e a  creare divisioni nelle società europee e tra le nazioni; che nei prossimi anni le minacce  ibride saranno caratterizzate da un maggiore ricorso alla combinazione sistematica di  guerra dell'informazione, manovre di forza agili, guerra informatica di massa e  tecnologie emergenti e di rottura, dai fondali marini allo spazio, con il dispiegamento di  sistemi avanzati di attacco e sorveglianza basati sullo spazio, tutti abilitati con  intelligenza artificiale (IA) avanzata, calcolo quantistico, tecnologie con sciami di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sempre più intelligenti, capacità informatiche offensive, sistemi di missili ipersonici e  guerre biologiche e con nanotecnologie; che la Russia e la Cina hanno dimostrato di  ricorrere maggiormente a strumenti ibridi per minare la sicurezza e la stabilità dell'UE; </w:t>
      </w:r>
    </w:p>
    <w:p w:rsidR="00A95CCD" w:rsidRDefault="00B6332E">
      <w:pPr>
        <w:pStyle w:val="normal"/>
        <w:widowControl w:val="0"/>
        <w:pBdr>
          <w:top w:val="nil"/>
          <w:left w:val="nil"/>
          <w:bottom w:val="nil"/>
          <w:right w:val="nil"/>
          <w:between w:val="nil"/>
        </w:pBdr>
        <w:spacing w:before="246" w:line="229" w:lineRule="auto"/>
        <w:ind w:left="606" w:right="59"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 considerando che la Federazione russa si avvale di società militari private, quali il  Corpo africano e il gruppo Wagner, come parte di uno strumentario di guerra ibrida che  le permetta di mantenere una plausibile negabilità mentre esercita influenza in varie  regioni e ottiene l'accesso a risorse naturali e infrastrutture critiche; che, secondo le  informazioni disponibili, il Corpo africano e il gruppo Wagner avrebbero commesso  atrocità in Ucraina, Mali, Libia, Siria e nella Repubblica centrafricana; che la  Federazione russa ha rafforzato i sentimenti antieuropeisti, soprattutto nei paesi con una  forte presenza europea o che ospitano missioni PSDC; </w:t>
      </w:r>
    </w:p>
    <w:p w:rsidR="00A95CCD" w:rsidRDefault="00B6332E">
      <w:pPr>
        <w:pStyle w:val="normal"/>
        <w:widowControl w:val="0"/>
        <w:pBdr>
          <w:top w:val="nil"/>
          <w:left w:val="nil"/>
          <w:bottom w:val="nil"/>
          <w:right w:val="nil"/>
          <w:between w:val="nil"/>
        </w:pBdr>
        <w:spacing w:before="246" w:line="229" w:lineRule="auto"/>
        <w:ind w:left="602" w:right="13"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AE. considerando che il 7 marzo 2024 la Svezia ha aderito come nuovo membro alla NATO,  </w:t>
      </w:r>
      <w:r>
        <w:rPr>
          <w:rFonts w:ascii="Times New Roman" w:eastAsia="Times New Roman" w:hAnsi="Times New Roman" w:cs="Times New Roman"/>
          <w:color w:val="000000"/>
          <w:sz w:val="24"/>
          <w:szCs w:val="24"/>
        </w:rPr>
        <w:lastRenderedPageBreak/>
        <w:t xml:space="preserve">seguendo le orme della Finlandia, che ha aderito nel 2023; che la cooperazione in  materia di sicurezza e di difesa con partner e alleati è fondamentale per l'ambizione  dell'UE di diventare un garante della sicurezza internazionale e costituisce un pilastro  portante della PSDC; che la cooperazione con le Nazioni Unite, la NATO, l'Unione  africana, l'Organizzazione per la sicurezza e la cooperazione in Europa e l'Associazione  delle nazioni del sud-est asiatico (ASEAN), nonché con numerosi alleati e partner che  condividono gli stessi valori quali, tra gli altri, Stati Uniti, Regno Unito, Canada,  Norvegia, Ucraina, Moldova, i paesi dei Balcani occidentali, Giappone, Corea del Sud,  Australia, Nuova Zelanda e alcuni paesi dell'America latina è fondamentale per il  successo dell'attuazione della PSDC; </w:t>
      </w:r>
    </w:p>
    <w:p w:rsidR="00A95CCD" w:rsidRDefault="00B6332E">
      <w:pPr>
        <w:pStyle w:val="normal"/>
        <w:widowControl w:val="0"/>
        <w:pBdr>
          <w:top w:val="nil"/>
          <w:left w:val="nil"/>
          <w:bottom w:val="nil"/>
          <w:right w:val="nil"/>
          <w:between w:val="nil"/>
        </w:pBdr>
        <w:spacing w:before="246" w:line="240" w:lineRule="auto"/>
        <w:ind w:lef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Le conseguenze del cambiamento del paradigma geopolitico per la sicurezza europea  </w:t>
      </w:r>
    </w:p>
    <w:p w:rsidR="00A95CCD" w:rsidRDefault="00B6332E">
      <w:pPr>
        <w:pStyle w:val="normal"/>
        <w:widowControl w:val="0"/>
        <w:pBdr>
          <w:top w:val="nil"/>
          <w:left w:val="nil"/>
          <w:bottom w:val="nil"/>
          <w:right w:val="nil"/>
          <w:between w:val="nil"/>
        </w:pBdr>
        <w:spacing w:before="235" w:line="229" w:lineRule="auto"/>
        <w:ind w:left="604" w:right="6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sottolinea la gravità delle minacce alla sicurezza del continente europeo, che hanno  raggiunto un livello senza precedenti dalla seconda guerra mondiale; esprime profonda  preoccupazione per il moltiplicarsi di fratture geopolitiche, l'emergere o il riproporsi di  ambizioni imperialiste di dominio da parte di potenze autoritarie, l'aumento di rivalità  sistemiche tra grandi potenze e di unilateralismo nazionalista, la diffusione del  terrorismo, compreso quello di matrice </w:t>
      </w:r>
      <w:proofErr w:type="spellStart"/>
      <w:r>
        <w:rPr>
          <w:rFonts w:ascii="Times New Roman" w:eastAsia="Times New Roman" w:hAnsi="Times New Roman" w:cs="Times New Roman"/>
          <w:color w:val="000000"/>
          <w:sz w:val="24"/>
          <w:szCs w:val="24"/>
        </w:rPr>
        <w:t>jihadista</w:t>
      </w:r>
      <w:proofErr w:type="spellEnd"/>
      <w:r>
        <w:rPr>
          <w:rFonts w:ascii="Times New Roman" w:eastAsia="Times New Roman" w:hAnsi="Times New Roman" w:cs="Times New Roman"/>
          <w:color w:val="000000"/>
          <w:sz w:val="24"/>
          <w:szCs w:val="24"/>
        </w:rPr>
        <w:t xml:space="preserve">, lo sfollamento forzato di civili e gli  attacchi deliberatamente mirati contro persone e infrastrutture civili e l'uso primario e  crescente della forza e della violenza da parte di alcuni attori malevoli per promuovere i  loro obiettivi e interessi politici ed economici o per risolvere controversie;  </w:t>
      </w:r>
    </w:p>
    <w:p w:rsidR="00A95CCD" w:rsidRDefault="00B6332E">
      <w:pPr>
        <w:pStyle w:val="normal"/>
        <w:widowControl w:val="0"/>
        <w:pBdr>
          <w:top w:val="nil"/>
          <w:left w:val="nil"/>
          <w:bottom w:val="nil"/>
          <w:right w:val="nil"/>
          <w:between w:val="nil"/>
        </w:pBdr>
        <w:spacing w:before="246" w:line="229" w:lineRule="auto"/>
        <w:ind w:left="43" w:right="10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esprime profonda preoccupazione, in tale contesto, per l'apparente cambio di posizione  degli Stati Uniti sulla guerra di aggressione della Russia, inclusi il fatto di aver  incolpato apertamente l'Ucraina della guerra in corso, la sospensione degli aiuti militari  statunitensi, nonché il tentativo di costringere l'Ucraina a rinunciare al suo legittimo </w:t>
      </w:r>
    </w:p>
    <w:p w:rsidR="00A95CCD" w:rsidRDefault="00B6332E">
      <w:pPr>
        <w:pStyle w:val="normal"/>
        <w:widowControl w:val="0"/>
        <w:pBdr>
          <w:top w:val="nil"/>
          <w:left w:val="nil"/>
          <w:bottom w:val="nil"/>
          <w:right w:val="nil"/>
          <w:between w:val="nil"/>
        </w:pBdr>
        <w:spacing w:line="229" w:lineRule="auto"/>
        <w:ind w:left="602" w:firstLine="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diritto all'autodifesa; deplora fermamente qualsiasi tentativo di ricattare la leadership  ucraina affinché si arrenda all'aggressore russo al solo scopo di annunciare un "accordo  di pace" e ritiene che l'attuale tentativo da parte dell'amministrazione statunitense di  negoziare un accordo di cessate il fuoco e di pace senza coinvolgere l'UE, la quale  dovrà in ultima analisi gestire la situazione che risulterà da tale accordo, sia  controproducente, in quanto non fa che rafforzare la parte belligerante, dimostrando in  tal modo che la politica aggressiva non viene punita, ma ricompensata; esprime cauto  ottimismo in merito alla proposta di un accordo di cessate il fuoco di 30 giorni; ricorda  che il cessate il fuoco può essere uno strumento efficace per sospendere le ostilità solo  se l'aggressore vi aderisce pienamente; si attende pertanto che la Russia lo accetti e lo  rispetti, cessando tutti gli attacchi contro l'Ucraina, le sue postazioni militari, la sua  popolazione civile, le sue infrastrutture e il suo territorio; conclude tuttavia che, in  considerazione delle passate violazioni di accordi precedenti da parte della Russia, la  pace può essere raggiunta solo fornendo all'Ucraina solide garanzie di sicurezza; ritiene,  per contro, che qualsiasi soluzione che comprometta le legittime aspirazioni  dell'Ucraina, come il suo diritto di scegliere i propri dispositivi di sicurezza, o che sia  sprovvista di garanzie di sicurezza credibili rischierà di esporre l'Ucraina e altri paesi  europei a nuovi attacchi russi; deplora, a tale proposito, i voti del governo statunitense,  allineati con quelli espressi dal governo russo, in seno all'Assemblea generale delle  Nazioni Unite e al Consiglio di sicurezza delle Nazioni Unite sulle risoluzioni relative al  terzo anniversario della guerra di aggressione della Russia contro l'Ucraina; </w:t>
      </w:r>
    </w:p>
    <w:p w:rsidR="00A95CCD" w:rsidRDefault="00B6332E">
      <w:pPr>
        <w:pStyle w:val="normal"/>
        <w:widowControl w:val="0"/>
        <w:pBdr>
          <w:top w:val="nil"/>
          <w:left w:val="nil"/>
          <w:bottom w:val="nil"/>
          <w:right w:val="nil"/>
          <w:between w:val="nil"/>
        </w:pBdr>
        <w:spacing w:before="246" w:line="229" w:lineRule="auto"/>
        <w:ind w:left="606" w:right="69"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ritiene che i teatri geopolitici in Ucraina, Medio Oriente, Mar cinese meridionale e  regione indo-pacifica siano sempre più interconnessi, tenuto conto dell'intensificarsi dei  legami tra la Russia e la Cina, in particolare, e ciò pone sfide significative alla pace e  alla sicurezza globali e all'ordine internazionale basato su regole che devono essere  affrontate dalla comunità internazionale; pone in risalto l'incremento degli attacchi e  </w:t>
      </w:r>
      <w:r>
        <w:rPr>
          <w:rFonts w:ascii="Times New Roman" w:eastAsia="Times New Roman" w:hAnsi="Times New Roman" w:cs="Times New Roman"/>
          <w:color w:val="000000"/>
          <w:sz w:val="24"/>
          <w:szCs w:val="24"/>
        </w:rPr>
        <w:lastRenderedPageBreak/>
        <w:t xml:space="preserve">delle minacce ibride che mirano a indebolire i valori e le strutture democratiche, ad  esempio durante le elezioni, come pure la coesione e l'adesione dei cittadini alle società  europee basate sui valori e allo Stato di diritto; ritiene che tale tendenza equivalga a un  cambiamento di paradigma, in quanto inverte la logica della costruzione di una  sicurezza internazionale basata sul rispetto del diritto internazionale, di un ordine  internazionale fondato su regole e del multilateralismo; </w:t>
      </w:r>
    </w:p>
    <w:p w:rsidR="00A95CCD" w:rsidRDefault="00B6332E">
      <w:pPr>
        <w:pStyle w:val="normal"/>
        <w:widowControl w:val="0"/>
        <w:pBdr>
          <w:top w:val="nil"/>
          <w:left w:val="nil"/>
          <w:bottom w:val="nil"/>
          <w:right w:val="nil"/>
          <w:between w:val="nil"/>
        </w:pBdr>
        <w:spacing w:before="246" w:line="229" w:lineRule="auto"/>
        <w:ind w:left="606" w:right="21"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riconosce la natura in evoluzione delle minacce alla sicurezza globale e sottolinea il  ruolo cruciale che la diplomazia, la cooperazione allo sviluppo come pure il controllo  degli armamenti e il disarmo svolgono unitamente agli sforzi militari nel garantire la  sicurezza e la pace durature a livello internazionale; rileva, tuttavia, l'impatto limitato  degli sforzi diplomatici volti a costruire la pace e la sicurezza negli ultimi tempi;  evidenzia che la pace e la stabilità globali sostenibili non possono essere raggiunte solo  attraverso misure militari, ma richiedono strategie globali che affrontino i principali  fattori all'origine dell'instabilità, come la povertà, la disuguaglianza, i fallimenti della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e i cambiamenti climatici; sottolinea che l'iniziativa Global Gateway  dell'UE e altri programmi di sviluppo dovrebbero essere allineati con gli obiettivi di  sicurezza, favorendo società resilienti attraverso la promozione della crescita economica  inclusiva, della buona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e dei diritti umani; </w:t>
      </w:r>
    </w:p>
    <w:p w:rsidR="00A95CCD" w:rsidRDefault="00B6332E">
      <w:pPr>
        <w:pStyle w:val="normal"/>
        <w:widowControl w:val="0"/>
        <w:pBdr>
          <w:top w:val="nil"/>
          <w:left w:val="nil"/>
          <w:bottom w:val="nil"/>
          <w:right w:val="nil"/>
          <w:between w:val="nil"/>
        </w:pBdr>
        <w:spacing w:before="246" w:line="429" w:lineRule="auto"/>
        <w:ind w:left="49" w:right="33" w:hanging="18"/>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La risposta dell'UE: una nuova era per la sicurezza e la difesa europee  </w:t>
      </w:r>
      <w:r>
        <w:rPr>
          <w:rFonts w:ascii="Times New Roman" w:eastAsia="Times New Roman" w:hAnsi="Times New Roman" w:cs="Times New Roman"/>
          <w:color w:val="000000"/>
          <w:sz w:val="24"/>
          <w:szCs w:val="24"/>
        </w:rPr>
        <w:t xml:space="preserve">5. accoglie con grande favore il Libro bianco congiunto sulla prontezza europea alla difesa </w:t>
      </w:r>
    </w:p>
    <w:p w:rsidR="00A95CCD" w:rsidRDefault="00B6332E">
      <w:pPr>
        <w:pStyle w:val="normal"/>
        <w:widowControl w:val="0"/>
        <w:pBdr>
          <w:top w:val="nil"/>
          <w:left w:val="nil"/>
          <w:bottom w:val="nil"/>
          <w:right w:val="nil"/>
          <w:between w:val="nil"/>
        </w:pBdr>
        <w:spacing w:line="229" w:lineRule="auto"/>
        <w:ind w:left="612" w:right="3" w:hanging="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il 2030</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che propone una tabella di marcia solida e ambiziosa per rafforzare la  sicurezza dell'Europa; invita la Commissione e gli Stati membri ad attuare rapidamente i  diversi elementi ambiziosi della proposta senza indugio, in quanto l'Europa deve essere  in grado di dissuadere gli aggressori e difendersi su tutti i fronti, di assumere la  leadership e agire rapidamente sulle questioni di sicurezza, nonché di produrre materiali  di difesa per rispondere alle proprie esigenze; </w:t>
      </w:r>
    </w:p>
    <w:p w:rsidR="00A95CCD" w:rsidRDefault="00B6332E">
      <w:pPr>
        <w:pStyle w:val="normal"/>
        <w:widowControl w:val="0"/>
        <w:pBdr>
          <w:top w:val="nil"/>
          <w:left w:val="nil"/>
          <w:bottom w:val="nil"/>
          <w:right w:val="nil"/>
          <w:between w:val="nil"/>
        </w:pBdr>
        <w:spacing w:before="246" w:line="229" w:lineRule="auto"/>
        <w:ind w:left="607" w:right="3"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sottolinea che è assolutamente necessario per l'UE riconoscere e affrontare le sfide poste  dalle molteplici minacce in continua evoluzione alla sua sicurezza nonché impegnarsi, a  tale scopo, in nuove e migliorate politiche e azioni che le consentano, insieme ai suoi  Stati membri, di rafforzare collettivamente e coerentemente la difesa europea, al fine di  garantire la sicurezza di tutti gli Stati membri dell'UE e dei loro cittadini e migliorare la  loro capacità di agire a livello globale; </w:t>
      </w:r>
    </w:p>
    <w:p w:rsidR="00A95CCD" w:rsidRDefault="00B6332E">
      <w:pPr>
        <w:pStyle w:val="normal"/>
        <w:widowControl w:val="0"/>
        <w:pBdr>
          <w:top w:val="nil"/>
          <w:left w:val="nil"/>
          <w:bottom w:val="nil"/>
          <w:right w:val="nil"/>
          <w:between w:val="nil"/>
        </w:pBdr>
        <w:spacing w:before="246" w:line="229" w:lineRule="auto"/>
        <w:ind w:left="613" w:right="760"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ritiene che la diplomazia debba rimanere una pietra angolare della politica estera  dell'UE; </w:t>
      </w:r>
    </w:p>
    <w:p w:rsidR="00A95CCD" w:rsidRDefault="00B6332E">
      <w:pPr>
        <w:pStyle w:val="normal"/>
        <w:widowControl w:val="0"/>
        <w:pBdr>
          <w:top w:val="nil"/>
          <w:left w:val="nil"/>
          <w:bottom w:val="nil"/>
          <w:right w:val="nil"/>
          <w:between w:val="nil"/>
        </w:pBdr>
        <w:spacing w:before="246" w:line="229" w:lineRule="auto"/>
        <w:ind w:left="607" w:right="40" w:hanging="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ricorda l'importanza per l'UE di migliorare l'autonomia strategica e la prontezza alla  difesa, come indicato nella Bussola strategica, per garantire che i suoi obiettivi siano  allineati con gli interessi collettivi e sovrani degli Stati membri e con la visione più  ampia della sicurezza e della difesa europee; riconosce, a tale proposito, che alcuni Stati  membri hanno politiche di neutralità militare consolidate e rispetta il diritto di ciascuno  Stato membro di definire la propria politica di sicurezza; </w:t>
      </w:r>
    </w:p>
    <w:p w:rsidR="00A95CCD" w:rsidRDefault="00B6332E">
      <w:pPr>
        <w:pStyle w:val="normal"/>
        <w:widowControl w:val="0"/>
        <w:pBdr>
          <w:top w:val="nil"/>
          <w:left w:val="nil"/>
          <w:bottom w:val="nil"/>
          <w:right w:val="nil"/>
          <w:between w:val="nil"/>
        </w:pBdr>
        <w:spacing w:before="246" w:line="229" w:lineRule="auto"/>
        <w:ind w:left="604" w:right="73"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sottolinea l'importanza di continuare a rendere operativo l'articolo 42, paragrafo 7, TUE  sull'assistenza reciproca, garantendo la solidarietà tra gli Stati membri, in particolare  quelli direttamente esposti a minacce e sfide imminenti in ragione della loro posizione  geografica, indipendentemente dal fatto che siano o meno membri della NATO; chiede  misure concrete per sviluppare un'autentica politica di solidarietà dell'UE, anche  chiarendo le modalità pratiche nel caso in cui uno Stato membro attivi l'articolo 42,  </w:t>
      </w:r>
      <w:r>
        <w:rPr>
          <w:rFonts w:ascii="Times New Roman" w:eastAsia="Times New Roman" w:hAnsi="Times New Roman" w:cs="Times New Roman"/>
          <w:color w:val="000000"/>
          <w:sz w:val="24"/>
          <w:szCs w:val="24"/>
        </w:rPr>
        <w:lastRenderedPageBreak/>
        <w:t xml:space="preserve">paragrafo 7, TUE e garantendo la coerenza tra l'articolo 42, paragrafo 7, TUE e  l'articolo 5 del trattato del Nord Atlantico; </w:t>
      </w:r>
    </w:p>
    <w:p w:rsidR="00A95CCD" w:rsidRDefault="00B6332E">
      <w:pPr>
        <w:pStyle w:val="normal"/>
        <w:widowControl w:val="0"/>
        <w:pBdr>
          <w:top w:val="nil"/>
          <w:left w:val="nil"/>
          <w:bottom w:val="nil"/>
          <w:right w:val="nil"/>
          <w:between w:val="nil"/>
        </w:pBdr>
        <w:spacing w:before="246" w:line="229" w:lineRule="auto"/>
        <w:ind w:left="606" w:right="26"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prende atto dei progressi complessivamente limitati e della carenza di investimenti nello  sviluppo di una capacità di difesa, di una capacità industriale e di una prontezza alla  difesa comuni a livello europeo dall'istituzione della PSDC 25 anni fa; osserva con  rammarico che, nonostante l'ambizione di definire una politica di difesa comune  dell'Unione, come previsto all'articolo 42, paragrafo 2, TUE, mancano ancora iniziative  concrete in tal senso; </w:t>
      </w:r>
    </w:p>
    <w:p w:rsidR="00A95CCD" w:rsidRDefault="00B6332E">
      <w:pPr>
        <w:pStyle w:val="normal"/>
        <w:widowControl w:val="0"/>
        <w:pBdr>
          <w:top w:val="nil"/>
          <w:left w:val="nil"/>
          <w:bottom w:val="nil"/>
          <w:right w:val="nil"/>
          <w:between w:val="nil"/>
        </w:pBdr>
        <w:spacing w:before="246" w:line="229" w:lineRule="auto"/>
        <w:ind w:left="612" w:right="59" w:hanging="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sottolinea che, se da un lato stiamo rafforzando la nostra difesa, dall'altro la nostra  alleanza e la nostra cooperazione con gli Stati Uniti rimangono estremamente  importanti, così come il coordinamento con la NATO, sia nello sviluppo delle capacità  che nello scambio di informazioni classificate; riconosce che le priorità degli Stati Uniti  in materia di sicurezza sono cambiate a causa di sfide in altre regioni, il che impone  all'Europa di assumersi la piena responsabilità della propria difesa; </w:t>
      </w:r>
    </w:p>
    <w:p w:rsidR="00A95CCD" w:rsidRDefault="00B6332E">
      <w:pPr>
        <w:pStyle w:val="normal"/>
        <w:widowControl w:val="0"/>
        <w:pBdr>
          <w:top w:val="nil"/>
          <w:left w:val="nil"/>
          <w:bottom w:val="nil"/>
          <w:right w:val="nil"/>
          <w:between w:val="nil"/>
        </w:pBdr>
        <w:spacing w:before="246" w:line="229" w:lineRule="auto"/>
        <w:ind w:left="66" w:right="22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insiste sulla necessità di un approccio, di politiche e di sforzi congiunti realmente  comuni nel settore della difesa, nonché di un cambiamento di paradigma nella PSDC  dell'UE che consenta all'UE di agire con decisione ed efficacia nel suo vicinato e sulla  </w:t>
      </w:r>
    </w:p>
    <w:p w:rsidR="00A95CCD" w:rsidRDefault="00B6332E">
      <w:pPr>
        <w:pStyle w:val="normal"/>
        <w:widowControl w:val="0"/>
        <w:pBdr>
          <w:top w:val="nil"/>
          <w:left w:val="nil"/>
          <w:bottom w:val="nil"/>
          <w:right w:val="nil"/>
          <w:between w:val="nil"/>
        </w:pBdr>
        <w:spacing w:before="468" w:line="240" w:lineRule="auto"/>
        <w:ind w:left="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JOIN(2025)0120. </w:t>
      </w:r>
    </w:p>
    <w:p w:rsidR="00A95CCD" w:rsidRDefault="00B6332E">
      <w:pPr>
        <w:pStyle w:val="normal"/>
        <w:widowControl w:val="0"/>
        <w:pBdr>
          <w:top w:val="nil"/>
          <w:left w:val="nil"/>
          <w:bottom w:val="nil"/>
          <w:right w:val="nil"/>
          <w:between w:val="nil"/>
        </w:pBdr>
        <w:spacing w:line="229" w:lineRule="auto"/>
        <w:ind w:left="604" w:right="40" w:firstLine="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scena mondiale, salvaguardare i suoi valori, i suoi interessi e i suoi cittadini e  promuovere i suoi obiettivi strategici; sottolinea l'importanza di presentare l'UE come  un attore internazionale forte e unito, in grado di agire in modo più strategico e  autonomo, difendersi da potenziali attacchi nemici e sostenere i suoi partner, nonché di  garantire la pace, lo sviluppo sostenibile e la democrazia; pone in risalto l'estrema  importanza che l'UE e i suoi Stati membri continuino a lavorare per creare una cultura  strategica comune nel settore della sicurezza e della difesa; pone l'accento sulla  necessità che gli Stati membri riflettano collettivamente sul futuro delle loro politiche e  dottrine in materia di deterrenza come pure sul loro adattamento al mutevole contesto di  sicurezza in Europa; sottolinea inoltre che, al fine di sviluppare politiche estere e di  difesa coerenti, l'UE deve rafforzare le sue strutture democratiche e indipendenti, i suoi  processi decisionali e la sua autonomia operativa;  </w:t>
      </w:r>
    </w:p>
    <w:p w:rsidR="00A95CCD" w:rsidRDefault="00B6332E">
      <w:pPr>
        <w:pStyle w:val="normal"/>
        <w:widowControl w:val="0"/>
        <w:pBdr>
          <w:top w:val="nil"/>
          <w:left w:val="nil"/>
          <w:bottom w:val="nil"/>
          <w:right w:val="nil"/>
          <w:between w:val="nil"/>
        </w:pBdr>
        <w:spacing w:before="246" w:line="229" w:lineRule="auto"/>
        <w:ind w:left="604" w:right="1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accoglie con favore l'obiettivo della presidente della Commissione di avviare una nuova  era della difesa e della sicurezza europee mediante la costruzione di una vera Unione  europea della difesa; valuta positivamente la nomina di </w:t>
      </w:r>
      <w:proofErr w:type="spellStart"/>
      <w:r>
        <w:rPr>
          <w:rFonts w:ascii="Times New Roman" w:eastAsia="Times New Roman" w:hAnsi="Times New Roman" w:cs="Times New Roman"/>
          <w:color w:val="000000"/>
          <w:sz w:val="24"/>
          <w:szCs w:val="24"/>
        </w:rPr>
        <w:t>Andrius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Kubilius</w:t>
      </w:r>
      <w:proofErr w:type="spellEnd"/>
      <w:r>
        <w:rPr>
          <w:rFonts w:ascii="Times New Roman" w:eastAsia="Times New Roman" w:hAnsi="Times New Roman" w:cs="Times New Roman"/>
          <w:color w:val="000000"/>
          <w:sz w:val="24"/>
          <w:szCs w:val="24"/>
        </w:rPr>
        <w:t xml:space="preserve">, il primo  commissario per la difesa e lo spazio, incaricato di collaborare con la VP/AR; accoglie  con favore la pubblicazione del libro bianco sul futuro della difesa europea; sottolinea la  necessità che l'UE e i suoi Stati membri, agendo per definire l'Unione europea della  difesa, adottino misure prioritarie e preparino azioni future al fine di garantire la  prontezza alla difesa dell'UE, in particolare per quanto riguarda la minaccia  rappresentata dalla Russia, e rafforzino la deterrenza e potenzino le capacità operative  quale strumento di difesa nei periodi di guerra, rispondendo nel contempo alle esigenze  civili e umanitarie, sfruttando in tal modo il concetto di "duplice uso";  </w:t>
      </w:r>
    </w:p>
    <w:p w:rsidR="00A95CCD" w:rsidRDefault="00B6332E">
      <w:pPr>
        <w:pStyle w:val="normal"/>
        <w:widowControl w:val="0"/>
        <w:pBdr>
          <w:top w:val="nil"/>
          <w:left w:val="nil"/>
          <w:bottom w:val="nil"/>
          <w:right w:val="nil"/>
          <w:between w:val="nil"/>
        </w:pBdr>
        <w:spacing w:before="246" w:line="229" w:lineRule="auto"/>
        <w:ind w:left="613" w:right="143" w:hanging="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accoglie con favore il piano "</w:t>
      </w:r>
      <w:proofErr w:type="spellStart"/>
      <w:r>
        <w:rPr>
          <w:rFonts w:ascii="Times New Roman" w:eastAsia="Times New Roman" w:hAnsi="Times New Roman" w:cs="Times New Roman"/>
          <w:color w:val="000000"/>
          <w:sz w:val="24"/>
          <w:szCs w:val="24"/>
        </w:rPr>
        <w:t>ReArm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Europe</w:t>
      </w:r>
      <w:proofErr w:type="spellEnd"/>
      <w:r>
        <w:rPr>
          <w:rFonts w:ascii="Times New Roman" w:eastAsia="Times New Roman" w:hAnsi="Times New Roman" w:cs="Times New Roman"/>
          <w:color w:val="000000"/>
          <w:sz w:val="24"/>
          <w:szCs w:val="24"/>
        </w:rPr>
        <w:t xml:space="preserve">" in cinque punti proposto il 4 marzo 2025  dalla presidente della Commissione; </w:t>
      </w:r>
    </w:p>
    <w:p w:rsidR="00A95CCD" w:rsidRDefault="00B6332E">
      <w:pPr>
        <w:pStyle w:val="normal"/>
        <w:widowControl w:val="0"/>
        <w:pBdr>
          <w:top w:val="nil"/>
          <w:left w:val="nil"/>
          <w:bottom w:val="nil"/>
          <w:right w:val="nil"/>
          <w:between w:val="nil"/>
        </w:pBdr>
        <w:spacing w:before="246" w:line="229" w:lineRule="auto"/>
        <w:ind w:left="607" w:right="326"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accoglie con favore i risultati della riunione straordinaria del Consiglio europeo del 6  marzo 2025 e le conclusioni della riunione del Consiglio europeo del 20 marzo 2025; </w:t>
      </w:r>
    </w:p>
    <w:p w:rsidR="00A95CCD" w:rsidRDefault="00B6332E">
      <w:pPr>
        <w:pStyle w:val="normal"/>
        <w:widowControl w:val="0"/>
        <w:pBdr>
          <w:top w:val="nil"/>
          <w:left w:val="nil"/>
          <w:bottom w:val="nil"/>
          <w:right w:val="nil"/>
          <w:between w:val="nil"/>
        </w:pBdr>
        <w:spacing w:before="246" w:line="229" w:lineRule="auto"/>
        <w:ind w:left="609" w:right="40" w:hanging="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16. accoglie con favore il fatto che il Libro bianco abbia tenuto conto delle richieste del  Parlamento in merito alla necessità di garantire la protezione delle frontiere terrestri,  aeree e marittime dell'UE dalle minacce militari e ibride; plaude all'approvazione di uno  scudo per la frontiera orientale e ribadisce il suo sostegno alla linea di difesa del  Baltico; </w:t>
      </w:r>
    </w:p>
    <w:p w:rsidR="00A95CCD" w:rsidRDefault="00B6332E">
      <w:pPr>
        <w:pStyle w:val="normal"/>
        <w:widowControl w:val="0"/>
        <w:pBdr>
          <w:top w:val="nil"/>
          <w:left w:val="nil"/>
          <w:bottom w:val="nil"/>
          <w:right w:val="nil"/>
          <w:between w:val="nil"/>
        </w:pBdr>
        <w:spacing w:before="246" w:line="229" w:lineRule="auto"/>
        <w:ind w:left="604" w:right="97"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accoglie con favore la pubblicazione della strategia dell'Unione in materia di  preparazione e sottolinea che le azioni dell'UE devono essere olistiche e affrontare tutte  le dimensioni della sicurezza: esterna, interna, sociale ed economica; è fermamente  convinto che solo un tale approccio globale garantirà un sostegno pubblico costante a  lungo termine; sottolinea che le misure delineate nel Libro bianco e la strategia  dell'Unione in materia di preparazione devono essere complementari e rafforzarsi a  vicenda; </w:t>
      </w:r>
    </w:p>
    <w:p w:rsidR="00A95CCD" w:rsidRDefault="00B6332E">
      <w:pPr>
        <w:pStyle w:val="normal"/>
        <w:widowControl w:val="0"/>
        <w:pBdr>
          <w:top w:val="nil"/>
          <w:left w:val="nil"/>
          <w:bottom w:val="nil"/>
          <w:right w:val="nil"/>
          <w:between w:val="nil"/>
        </w:pBdr>
        <w:spacing w:before="246" w:line="229" w:lineRule="auto"/>
        <w:ind w:left="66"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invita l'UE e i suoi Stati membri ad accelerare l'impegno previsto dalla dichiarazione di  Versailles e ad assumere maggiori responsabilità nell'ambito della difesa e della  sicurezza, anche migliorando l'autonomia strategica e rafforzando le capacità di difesa e  deterrenza, specie lungo i confini orientali; sottolinea che la NATO e il partenariato  transatlantico con gli Stati Uniti rimangono le pietre angolari della difesa collettiva  europea e che l'UE e la NATO svolgono ruoli complementari, coerenti e sinergici nel  sostenere la pace e la sicurezza internazionali; ricorda che un'UE più forte e più capace </w:t>
      </w:r>
    </w:p>
    <w:p w:rsidR="00A95CCD" w:rsidRDefault="00B6332E">
      <w:pPr>
        <w:pStyle w:val="normal"/>
        <w:widowControl w:val="0"/>
        <w:pBdr>
          <w:top w:val="nil"/>
          <w:left w:val="nil"/>
          <w:bottom w:val="nil"/>
          <w:right w:val="nil"/>
          <w:between w:val="nil"/>
        </w:pBdr>
        <w:spacing w:line="229" w:lineRule="auto"/>
        <w:ind w:left="604" w:right="32"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 settore della sicurezza e della difesa contribuirà positivamente alla sicurezza globale  e transatlantica ed è complementare alla NATO; evidenzia la necessità che gli Stati  membri e l'UE nel complesso intensifichino gli sforzi mediante investimenti congiunti  più consistenti e mirati, appalti congiunti di prodotti per la difesa che siano in gran parte  progettati e prodotti nell'UE e lo sviluppo di maggiori capacità congiunte, anche  attraverso la messa in comune e la condivisione, rafforzando in tal modo le loro forze  armate per scopi operativi nazionali, della NATO e dell'UE; sottolinea che l'UE e i suoi  Stati membri devono garantire che una parte sostanziale e crescente delle loro  attrezzature militari non sia soggetta a normative restrittive di paesi terzi; </w:t>
      </w:r>
    </w:p>
    <w:p w:rsidR="00A95CCD" w:rsidRDefault="00B6332E">
      <w:pPr>
        <w:pStyle w:val="normal"/>
        <w:widowControl w:val="0"/>
        <w:pBdr>
          <w:top w:val="nil"/>
          <w:left w:val="nil"/>
          <w:bottom w:val="nil"/>
          <w:right w:val="nil"/>
          <w:between w:val="nil"/>
        </w:pBdr>
        <w:spacing w:before="246" w:line="229" w:lineRule="auto"/>
        <w:ind w:left="604" w:right="429"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 sostiene l'ambizione di consolidare il pilastro europeo all'interno della NATO e  sottolinea che lo sviluppo di un'Unione europea della difesa dovrebbe andare di pari  passo con l'approfondimento della cooperazione UE-NATO, sfruttando appieno le  capacità uniche di ciascuna organizzazione; </w:t>
      </w:r>
    </w:p>
    <w:p w:rsidR="00A95CCD" w:rsidRDefault="00B6332E">
      <w:pPr>
        <w:pStyle w:val="normal"/>
        <w:widowControl w:val="0"/>
        <w:pBdr>
          <w:top w:val="nil"/>
          <w:left w:val="nil"/>
          <w:bottom w:val="nil"/>
          <w:right w:val="nil"/>
          <w:between w:val="nil"/>
        </w:pBdr>
        <w:spacing w:before="246" w:line="229" w:lineRule="auto"/>
        <w:ind w:left="604" w:hanging="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 pone in risalto la necessità di uno stretto coordinamento in materia di deterrenza e  collaborazione tra l'UE e la NATO per quanto riguarda lo sviluppo di capacità di difesa  coerenti, complementari e interoperabili e il rafforzamento delle capacità di produzione  industriale; sottolinea che un pilastro europeo all'interno della NATO consiste in  particolare nell'acquisizione congiunta di facilitatori strategici o di sistemi di armamenti  strategici che sono spesso troppo costosi per un singolo Stato membro, come la capacità  di rifornimento in volo, la capacità di comando e controllo, le armi ipersoniche, la difesa  aerea a più livelli, le capacità di guerra elettronica e i sistemi di difesa aerea e  missilistica; ritiene che il valore aggiunto europeo risieda nello sviluppo o nell'acquisto  congiunto di questi facilitatori e sistemi di cui i singoli Stati membri dell'UE sono  gravemente carenti; sottolinea che lo sviluppo delle capacità dell'UE rafforza il pilastro  europeo all'interno della NATO e contribuisce di conseguenza alla sicurezza  transatlantica; chiede l'istituzione di una conferenza periodica tra l'UE e la NATO per  garantire uno stretto coordinamento e una forte complementarità tra gli sforzi di  entrambe le organizzazioni e dei loro Stati membri nel rafforzare lo sviluppo delle  capacità e gli armamenti, evitando nel contempo duplicazioni inutili e disfunzionali;  invita la Commissione e il Consiglio a garantire che gli sforzi dell'UE nello sviluppo  delle capacità di difesa siano coerenti con gli obiettivi del processo di pianificazione  </w:t>
      </w:r>
      <w:r>
        <w:rPr>
          <w:rFonts w:ascii="Times New Roman" w:eastAsia="Times New Roman" w:hAnsi="Times New Roman" w:cs="Times New Roman"/>
          <w:color w:val="000000"/>
          <w:sz w:val="24"/>
          <w:szCs w:val="24"/>
        </w:rPr>
        <w:lastRenderedPageBreak/>
        <w:t xml:space="preserve">della difesa della NATO; chiede inoltre che tutto il sostegno a titolo dell'EPF alla  fornitura di attrezzature sia effettuato in coordinamento con la NATO per una maggiore  efficienza e per evitare inutili duplicazioni; </w:t>
      </w:r>
    </w:p>
    <w:p w:rsidR="00A95CCD" w:rsidRDefault="00B6332E">
      <w:pPr>
        <w:pStyle w:val="normal"/>
        <w:widowControl w:val="0"/>
        <w:pBdr>
          <w:top w:val="nil"/>
          <w:left w:val="nil"/>
          <w:bottom w:val="nil"/>
          <w:right w:val="nil"/>
          <w:between w:val="nil"/>
        </w:pBdr>
        <w:spacing w:before="366" w:line="229" w:lineRule="auto"/>
        <w:ind w:right="237" w:firstLine="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Rafforzare la sicurezza europea: sostenere l'Ucraina fornendo capacità militari per porre  fine alla guerra di aggressione della Russia </w:t>
      </w:r>
    </w:p>
    <w:p w:rsidR="00A95CCD" w:rsidRDefault="00B6332E">
      <w:pPr>
        <w:pStyle w:val="normal"/>
        <w:widowControl w:val="0"/>
        <w:pBdr>
          <w:top w:val="nil"/>
          <w:left w:val="nil"/>
          <w:bottom w:val="nil"/>
          <w:right w:val="nil"/>
          <w:between w:val="nil"/>
        </w:pBdr>
        <w:spacing w:before="366" w:line="229" w:lineRule="auto"/>
        <w:ind w:left="605" w:right="284"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ribadisce che l'UE deve assumere impegni in materia di sicurezza nei confronti  dell'Ucraina, come raccomandato dal patto di sicurezza di Kiev, al fine di scoraggiare  ulteriori aggressioni russe; </w:t>
      </w:r>
    </w:p>
    <w:p w:rsidR="00A95CCD" w:rsidRDefault="00B6332E">
      <w:pPr>
        <w:pStyle w:val="normal"/>
        <w:widowControl w:val="0"/>
        <w:pBdr>
          <w:top w:val="nil"/>
          <w:left w:val="nil"/>
          <w:bottom w:val="nil"/>
          <w:right w:val="nil"/>
          <w:between w:val="nil"/>
        </w:pBdr>
        <w:spacing w:before="366" w:line="229" w:lineRule="auto"/>
        <w:ind w:left="606" w:right="92"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sottolinea che il sostegno finanziario fornito all'Ucraina dall'UE e dai suoi Stati membri  supera quello di qualsiasi altro paese, a testimonianza dell'impegno senza pari dell'UE  nei confronti dell'Ucraina; sottolinea che il ruolo dell'UE in qualsiasi negoziato che  incida sulla sicurezza dell'Europa deve essere commisurato al suo peso politico ed  economico; ribadisce che non possono esservi negoziati che incidono sulla sicurezza  europea senza il coinvolgimento dell'UE;</w:t>
      </w:r>
    </w:p>
    <w:p w:rsidR="00A95CCD" w:rsidRDefault="00B6332E">
      <w:pPr>
        <w:pStyle w:val="normal"/>
        <w:widowControl w:val="0"/>
        <w:pBdr>
          <w:top w:val="nil"/>
          <w:left w:val="nil"/>
          <w:bottom w:val="nil"/>
          <w:right w:val="nil"/>
          <w:between w:val="nil"/>
        </w:pBdr>
        <w:spacing w:line="229" w:lineRule="auto"/>
        <w:ind w:left="43" w:right="34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ricorda le conclusioni del Consiglio europeo del 20 marzo 2025, che approvano il  principio di "pace attraverso la forza" e sottolineano che l'Ucraina deve trovarsi nella  posizione più forte possibile per poter arrivare a negoziare con la Russia; </w:t>
      </w:r>
    </w:p>
    <w:p w:rsidR="00A95CCD" w:rsidRDefault="00B6332E">
      <w:pPr>
        <w:pStyle w:val="normal"/>
        <w:widowControl w:val="0"/>
        <w:pBdr>
          <w:top w:val="nil"/>
          <w:left w:val="nil"/>
          <w:bottom w:val="nil"/>
          <w:right w:val="nil"/>
          <w:between w:val="nil"/>
        </w:pBdr>
        <w:spacing w:before="366" w:line="229" w:lineRule="auto"/>
        <w:ind w:left="610" w:right="86" w:hanging="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sottolinea che un accordo di pace globale, che rispetti l'indipendenza, la sovranità e  l'integrità territoriale dell'Ucraina, deve essere accompagnato da solide e credibili  garanzie di sicurezza per l'Ucraina al fine di scoraggiare una futura aggressione russa;  accoglie con favore gli sforzi avviati in tal senso con i partner della NATO e con quanti  condividono gli stessi principi; si compiace delle conclusioni del Consiglio europeo del  20 marzo 2025, nelle quali si sottolinea che l'UE e i suoi Stati membri sono pronti a  contribuire alle garanzie di sicurezza, in particolare sostenendo la capacità dell'Ucraina  di difendersi efficacemente; </w:t>
      </w:r>
    </w:p>
    <w:p w:rsidR="00A95CCD" w:rsidRDefault="00B6332E">
      <w:pPr>
        <w:pStyle w:val="normal"/>
        <w:widowControl w:val="0"/>
        <w:pBdr>
          <w:top w:val="nil"/>
          <w:left w:val="nil"/>
          <w:bottom w:val="nil"/>
          <w:right w:val="nil"/>
          <w:between w:val="nil"/>
        </w:pBdr>
        <w:spacing w:before="246" w:line="229" w:lineRule="auto"/>
        <w:ind w:left="604" w:right="10" w:hanging="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ribadisce il suo fermo sostegno alla solidarietà dell'UE e dei suoi Stati membri nei  confronti dell'Ucraina di fronte alla guerra di aggressione della Russia e alla fornitura in  tempo utile di tutti i mezzi militari necessari all'Ucraina per difendersi, respingere le  forze armate russe e ausiliarie, porre fine al conflitto, proteggere la sua sovranità e  ripristinare la sua integrità territoriale entro i confini riconosciuti a livello  internazionale; è pertanto pienamente favorevole alla "strategia del porcospino" per  l'Ucraina, quale definita nel Libro bianco; accoglie con favore gli impegni congiunti tra  l'UE e l'Ucraina in materia di sicurezza e gli accordi bilaterali di sicurezza conclusi  dall'Ucraina con diversi Stati membri; sottolinea che tali impegni e accordi si  inseriscono in un più ampio pacchetto di garanzie di sicurezza per l'Ucraina coordinato  a livello internazionale, che comprende inoltre l'avvio da parte del G7 di un quadro  multilaterale per la negoziazione di impegni e accordi bilaterali in materia di sicurezza  per l'Ucraina; ritiene che senza il deciso sostegno militare dell'UE l'Ucraina non sarà in  grado di conseguire la vittoria contro la Russia; ribadisce con decisione il suo invito agli  Stati membri dell'UE affinché rispettino tempestivamente gli impegni e forniscano  all'Ucraina armi, aerei da combattimento,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sistemi di difesa aerea, sistemi d'arma e  munizioni, compresi missili da crociera aviolanciati e sistemi terra-terra, e aumentino  sensibilmente le relative quantità; prende atto dell'avvenuta consegna all'Ucraina di un  milione di munizioni di artiglieria, come convenuto dal Consiglio nel marzo 2023,  nonostante il deplorevole ritardo di nove mesi; riconosce i notevoli progressi nella  capacità dell'UE di produrre munizioni di artiglieria, che contribuiscono alla  preparazione e alla capacità dell'UE di sostenere l'Ucraina; sottolinea l'importanza di  </w:t>
      </w:r>
      <w:r>
        <w:rPr>
          <w:rFonts w:ascii="Times New Roman" w:eastAsia="Times New Roman" w:hAnsi="Times New Roman" w:cs="Times New Roman"/>
          <w:color w:val="000000"/>
          <w:sz w:val="24"/>
          <w:szCs w:val="24"/>
        </w:rPr>
        <w:lastRenderedPageBreak/>
        <w:t xml:space="preserve">rafforzare le capacità </w:t>
      </w:r>
      <w:proofErr w:type="spellStart"/>
      <w:r>
        <w:rPr>
          <w:rFonts w:ascii="Times New Roman" w:eastAsia="Times New Roman" w:hAnsi="Times New Roman" w:cs="Times New Roman"/>
          <w:color w:val="000000"/>
          <w:sz w:val="24"/>
          <w:szCs w:val="24"/>
        </w:rPr>
        <w:t>antidroni</w:t>
      </w:r>
      <w:proofErr w:type="spellEnd"/>
      <w:r>
        <w:rPr>
          <w:rFonts w:ascii="Times New Roman" w:eastAsia="Times New Roman" w:hAnsi="Times New Roman" w:cs="Times New Roman"/>
          <w:color w:val="000000"/>
          <w:sz w:val="24"/>
          <w:szCs w:val="24"/>
        </w:rPr>
        <w:t xml:space="preserve"> dell'Ucraina quale elemento fondamentale per  contrastare le minacce aeree e mantenere la sicurezza operativa; chiede la fornitura di  attrezzature e competenze specializzate per consentire alle forze ucraine di identificare e  tracciare rapidamente le attività ostili dei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e di rispondervi in modo altrettanto  rapido, garantendo una solida protezione delle infrastrutture sia militari che civili; invita  gli Stati membri a revocare tutte le restrizioni che impediscono all'Ucraina di utilizzare  sistemi d'arma occidentali contro obiettivi militari legittimi in territorio russo,  conformemente al diritto internazionale; invita il Consiglio a impegnarsi a trasferire in  Ucraina tutte le attrezzature militari e le munizioni confiscate nel corso delle operazioni  e delle missioni dell'UE all'interno e all'esterno dell'Unione; ribadisce la sua posizione  secondo cui tutti gli Stati membri dell'UE e gli alleati della NATO dovrebbero  impegnarsi collettivamente e individualmente a fornire sostegno militare all'Ucraina con  almeno lo 0,25 % del loro PIL annuo; </w:t>
      </w:r>
    </w:p>
    <w:p w:rsidR="00A95CCD" w:rsidRDefault="00B6332E">
      <w:pPr>
        <w:pStyle w:val="normal"/>
        <w:widowControl w:val="0"/>
        <w:pBdr>
          <w:top w:val="nil"/>
          <w:left w:val="nil"/>
          <w:bottom w:val="nil"/>
          <w:right w:val="nil"/>
          <w:between w:val="nil"/>
        </w:pBdr>
        <w:spacing w:before="246" w:line="229" w:lineRule="auto"/>
        <w:ind w:left="606" w:right="40"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 ribadisce il diritto naturale dell'Ucraina di scegliere il proprio destino e ricorda la  richiesta di un adeguato coinvolgimento dell'Ucraina e dell'UE nei negoziati in corso tra </w:t>
      </w:r>
    </w:p>
    <w:p w:rsidR="00A95CCD" w:rsidRDefault="00B6332E">
      <w:pPr>
        <w:pStyle w:val="normal"/>
        <w:widowControl w:val="0"/>
        <w:pBdr>
          <w:top w:val="nil"/>
          <w:left w:val="nil"/>
          <w:bottom w:val="nil"/>
          <w:right w:val="nil"/>
          <w:between w:val="nil"/>
        </w:pBdr>
        <w:spacing w:line="240" w:lineRule="auto"/>
        <w:ind w:left="6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gli Stati Uniti e la Russia; </w:t>
      </w:r>
    </w:p>
    <w:p w:rsidR="00A95CCD" w:rsidRDefault="00B6332E">
      <w:pPr>
        <w:pStyle w:val="normal"/>
        <w:widowControl w:val="0"/>
        <w:pBdr>
          <w:top w:val="nil"/>
          <w:left w:val="nil"/>
          <w:bottom w:val="nil"/>
          <w:right w:val="nil"/>
          <w:between w:val="nil"/>
        </w:pBdr>
        <w:spacing w:before="235" w:line="229" w:lineRule="auto"/>
        <w:ind w:left="604" w:right="24" w:hanging="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27. elogia il modello danese per il sostegno all'Ucraina, che consiste nel fornire capacità di  difesa prodotte direttamente in Ucraina; chiede all'UE e ai suoi Stati membri di  sostenere fermamente tale modello e di sfruttarne appieno le potenzialità, dal momento  che la capacità industriale di difesa dell'Ucraina, stimata a circa il 50 %, è sottoutilizza e  il modello in questione comporta molti vantaggi per entrambe le parti, quali attrezzature  più economiche, una logistica più rapida e più sicura nonché una maggiore facilità di  addestramento e manutenzione; </w:t>
      </w:r>
    </w:p>
    <w:p w:rsidR="00A95CCD" w:rsidRDefault="00B6332E">
      <w:pPr>
        <w:pStyle w:val="normal"/>
        <w:widowControl w:val="0"/>
        <w:pBdr>
          <w:top w:val="nil"/>
          <w:left w:val="nil"/>
          <w:bottom w:val="nil"/>
          <w:right w:val="nil"/>
          <w:between w:val="nil"/>
        </w:pBdr>
        <w:spacing w:before="246" w:line="229" w:lineRule="auto"/>
        <w:ind w:left="604" w:right="63" w:hanging="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 invita l'UE e i suoi Stati membri a sostenere l'Ucraina nell'ampliamento della coalizione  internazionale a sostegno del piano per la vittoria e della formula di pace presentati dal  presidente ucraino </w:t>
      </w:r>
      <w:proofErr w:type="spellStart"/>
      <w:r>
        <w:rPr>
          <w:rFonts w:ascii="Times New Roman" w:eastAsia="Times New Roman" w:hAnsi="Times New Roman" w:cs="Times New Roman"/>
          <w:color w:val="000000"/>
          <w:sz w:val="24"/>
          <w:szCs w:val="24"/>
        </w:rPr>
        <w:t>Volodymyr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Zelensky</w:t>
      </w:r>
      <w:proofErr w:type="spellEnd"/>
      <w:r>
        <w:rPr>
          <w:rFonts w:ascii="Times New Roman" w:eastAsia="Times New Roman" w:hAnsi="Times New Roman" w:cs="Times New Roman"/>
          <w:color w:val="000000"/>
          <w:sz w:val="24"/>
          <w:szCs w:val="24"/>
        </w:rPr>
        <w:t xml:space="preserve"> quale unica via percorribile per ripristinare la  sovranità e l'integrità territoriale del paese sulla base del diritto internazionale, facendo  così in modo che la Russia, la sua leadership e i suoi complici, in particolare il regime  bielorusso, rispondano del fatto di aver intrapreso una guerra di aggressione contro  l'Ucraina e di aver commesso crimini di guerra e il crimine di aggressione e  garantiscano che la Russia corrisponda risarcimenti e altri pagamenti per gli ingenti  danni causati in Ucraina; sottolinea che tutte le iniziative volte a porre fine al conflitto  devono avere il sostegno dell'Ucraina e, in ultima analisi, del suo popolo; </w:t>
      </w:r>
    </w:p>
    <w:p w:rsidR="00A95CCD" w:rsidRDefault="00B6332E">
      <w:pPr>
        <w:pStyle w:val="normal"/>
        <w:widowControl w:val="0"/>
        <w:pBdr>
          <w:top w:val="nil"/>
          <w:left w:val="nil"/>
          <w:bottom w:val="nil"/>
          <w:right w:val="nil"/>
          <w:between w:val="nil"/>
        </w:pBdr>
        <w:spacing w:before="246" w:line="229" w:lineRule="auto"/>
        <w:ind w:left="43" w:right="4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invita la VP/AR a mobilitare un maggiore sostegno diplomatico per l'Ucraina e le  sanzioni imposte alla Russia, utilizzando l'intero spettro di strumenti diplomatici e  incoraggiando gli Stati membri dell'UE a prendere in considerazione l'applicazione di  sanzioni secondarie; deplora il fatto che nelle armi e nei relativi sistemi utilizzati dalla  Russia contro l'Ucraina siano stati riscontrati alcuni componenti di origine occidentale e  invita l'UE e gli Stati membri ad applicare le sanzioni in modo più rigoroso; chiede che  gli Stati membri adottino ulteriori azioni e cooperino per fermare la flotta ombra russa; </w:t>
      </w:r>
    </w:p>
    <w:p w:rsidR="00A95CCD" w:rsidRDefault="00B6332E">
      <w:pPr>
        <w:pStyle w:val="normal"/>
        <w:widowControl w:val="0"/>
        <w:pBdr>
          <w:top w:val="nil"/>
          <w:left w:val="nil"/>
          <w:bottom w:val="nil"/>
          <w:right w:val="nil"/>
          <w:between w:val="nil"/>
        </w:pBdr>
        <w:spacing w:before="246" w:line="229" w:lineRule="auto"/>
        <w:ind w:left="605" w:right="6" w:hanging="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condanna fermamente il ruolo che la Corea del Nord svolge nel contribuire alla guerra  di aggressione russa contro l'Ucraina formando truppe nordcoreane e dispiegandole in  Russia affinché partecipino direttamente alla guerra o sostengano le forze armate russe;  condanna inoltre con la massima fermezza il fatto che la Corea del Nord fornisca  attrezzature militari e armi attivamente utilizzate sul campo di battaglia e sia coinvolta  nell'elusione delle sanzioni; considera le azioni della Corea del Nord una palese  violazione delle norme internazionali e mette in guardia contro il pericoloso e notevole  rischio di escalation rappresentato da tali azioni per l'Europa e la più ampia comunità  internazionale; sottolinea con forte preoccupazione il rischio che la Corea del Nord  </w:t>
      </w:r>
      <w:r>
        <w:rPr>
          <w:rFonts w:ascii="Times New Roman" w:eastAsia="Times New Roman" w:hAnsi="Times New Roman" w:cs="Times New Roman"/>
          <w:color w:val="000000"/>
          <w:sz w:val="24"/>
          <w:szCs w:val="24"/>
        </w:rPr>
        <w:lastRenderedPageBreak/>
        <w:t xml:space="preserve">utilizzi il campo di battaglia in Ucraina come piattaforma per studiare tattiche di  combattimento avanzate, inclusa la guerra con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con l'intenzione di applicare  queste tecniche in potenziali conflitti futuri; esprime indignazione per il fatto che diversi  altri Stati senza scrupoli, tra cui l'Iran, sostengono attivamente la guerra di aggressione  russa contro l'Ucraina; condanna, a tale proposito, il trasferimento in Russia da parte  dell'Iran di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munizioni e missili balistici </w:t>
      </w:r>
      <w:proofErr w:type="spellStart"/>
      <w:r>
        <w:rPr>
          <w:rFonts w:ascii="Times New Roman" w:eastAsia="Times New Roman" w:hAnsi="Times New Roman" w:cs="Times New Roman"/>
          <w:color w:val="000000"/>
          <w:sz w:val="24"/>
          <w:szCs w:val="24"/>
        </w:rPr>
        <w:t>Shahed</w:t>
      </w:r>
      <w:proofErr w:type="spellEnd"/>
      <w:r>
        <w:rPr>
          <w:rFonts w:ascii="Times New Roman" w:eastAsia="Times New Roman" w:hAnsi="Times New Roman" w:cs="Times New Roman"/>
          <w:color w:val="000000"/>
          <w:sz w:val="24"/>
          <w:szCs w:val="24"/>
        </w:rPr>
        <w:t>, poiché ciò aumenta il rischio di  un potenziale intervento militare da parte del Corpo delle guardie rivoluzionarie  islamiche (IRGC) nella guerra di aggressione russa contro l'Ucraina; è fermamente  convinto che l'UE e la comunità internazionale debbano rispondere con fermezza a tale  situazione con una combinazione di misure diplomatiche, militari ed economiche e,  soprattutto, fornendo maggiore sostegno all'Ucraina affinché rafforzi la sua difesa  contro questa alleanza di Stati senza scrupoli costruita dalla Russia; sottolinea  l'importanza di mantenere stretti contatti a tale riguardo con l'amministrazione  statunitense 2025-2029;</w:t>
      </w:r>
    </w:p>
    <w:p w:rsidR="00A95CCD" w:rsidRDefault="00B6332E">
      <w:pPr>
        <w:pStyle w:val="normal"/>
        <w:widowControl w:val="0"/>
        <w:pBdr>
          <w:top w:val="nil"/>
          <w:left w:val="nil"/>
          <w:bottom w:val="nil"/>
          <w:right w:val="nil"/>
          <w:between w:val="nil"/>
        </w:pBdr>
        <w:spacing w:line="229" w:lineRule="auto"/>
        <w:ind w:left="47" w:righ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sottolinea l'importanza dell'EPF, che ha contribuito in modo determinante alla fornitura  di capacità militari e all'addestramento delle forze armate ucraine, agevolando nel  contempo il coordinamento di tutte le parti interessate attraverso il meccanismo di  </w:t>
      </w:r>
    </w:p>
    <w:p w:rsidR="00A95CCD" w:rsidRDefault="00B6332E">
      <w:pPr>
        <w:pStyle w:val="normal"/>
        <w:widowControl w:val="0"/>
        <w:pBdr>
          <w:top w:val="nil"/>
          <w:left w:val="nil"/>
          <w:bottom w:val="nil"/>
          <w:right w:val="nil"/>
          <w:between w:val="nil"/>
        </w:pBdr>
        <w:spacing w:before="6" w:line="229" w:lineRule="auto"/>
        <w:ind w:left="604"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coordinamento all'interno dello Stato maggiore dell'UE; accoglie con favore l'istituzione  dell'apposito Fondo di assistenza per l'Ucraina nell'ambito dell'EPF e chiede un aumento  delle risorse finanziarie per l'assistenza militare all'Ucraina attraverso tale strumento,  offrendo nel contempo anche una prospettiva finanziaria a medio termine; esorta il  governo ungherese a desistere immediatamente dagli sforzi tesi a ostacolare le azioni  dell'UE a sostegno dell'Ucraina e a revocare il veto sulla proroga del periodo di rinnovo  delle sanzioni dell'UE e sul sostegno militare all'Ucraina mediante l'EPF, compresi i  rimborsi concordati agli Stati membri dell'UE per gli aiuti militari che hanno fornito;  esprime profonda preoccupazione per il fatto che il veto del governo ungherese abbia  bloccato l'apertura di una nuova tranche di spesa a sostegno delle forze armate ucraine e  abbia impedito lo svincolo di 6,6 miliardi di EUR in rimborsi parziali agli Stati membri  dell'UE che forniscono sostegno militare all'Ucraina; esorta il Consiglio e la VP/AR a  trovare soluzioni innovative in grado di rimuovere questi ostacoli e compensare i tagli ai  finanziamenti; incoraggia gli Stati membri a sviluppare inventari delle capacità militari  prevedibili e basati su scenari reali che possano essere forniti nell'ambito dell'EPF per  garantire che le capacità a breve termine siano mobilitate rapidamente dagli Stati  membri e consegnate senza ritardi, e che la fornitura a lungo termine di capacità che  aiutino l'Ucraina a ripristinare la deterrenza sia assicurata in un arco di tempo  prevedibile, in coordinamento con i paesi terzi, ove necessario; apprezza il fatto che  tutta l'assistenza militare e le forniture di armi a titolo dell'EPF siano state pienamente  conformi alla posizione comune dell'UE sulle esportazioni di armi, al diritto  internazionale in materia di diritti umani e al diritto umanitario, garantendo nel  contempo una trasparenza e una responsabilità adeguate; </w:t>
      </w:r>
    </w:p>
    <w:p w:rsidR="00A95CCD" w:rsidRDefault="00B6332E">
      <w:pPr>
        <w:pStyle w:val="normal"/>
        <w:widowControl w:val="0"/>
        <w:pBdr>
          <w:top w:val="nil"/>
          <w:left w:val="nil"/>
          <w:bottom w:val="nil"/>
          <w:right w:val="nil"/>
          <w:between w:val="nil"/>
        </w:pBdr>
        <w:spacing w:before="246" w:line="229" w:lineRule="auto"/>
        <w:ind w:left="47" w:right="7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32. non condivide la politica del governo ungherese nei confronti della Russia, il suo uso di  veti contro le sanzioni dell'UE e il blocco degli aiuti finanziari e di difesa dell'UE  all'Ucraina; ritiene che le azioni del governo ungherese compromettano l'unità e la  solidarietà in Europa; ricorda che, nell'ambito dell'EPF, i paesi hanno diritto a una  </w:t>
      </w:r>
    </w:p>
    <w:p w:rsidR="00A95CCD" w:rsidRDefault="00B6332E">
      <w:pPr>
        <w:pStyle w:val="normal"/>
        <w:widowControl w:val="0"/>
        <w:pBdr>
          <w:top w:val="nil"/>
          <w:left w:val="nil"/>
          <w:bottom w:val="nil"/>
          <w:right w:val="nil"/>
          <w:between w:val="nil"/>
        </w:pBdr>
        <w:spacing w:before="6" w:line="229" w:lineRule="auto"/>
        <w:ind w:left="606" w:right="18"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compensazione finanziaria per le attrezzature fornite all'Ucraina e sottolinea, alla luce di  ciò, che gli attuali blocchi ai rimborsi per 25 Stati membri, tra i quali spicca la Polonia  con un totale di 450 milioni di EUR di compensazioni non corrisposte, devono essere  rimossi immediatamente; </w:t>
      </w:r>
    </w:p>
    <w:p w:rsidR="00A95CCD" w:rsidRDefault="00B6332E">
      <w:pPr>
        <w:pStyle w:val="normal"/>
        <w:widowControl w:val="0"/>
        <w:pBdr>
          <w:top w:val="nil"/>
          <w:left w:val="nil"/>
          <w:bottom w:val="nil"/>
          <w:right w:val="nil"/>
          <w:between w:val="nil"/>
        </w:pBdr>
        <w:spacing w:before="246" w:line="229" w:lineRule="auto"/>
        <w:ind w:left="602" w:right="39" w:hanging="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sottolinea l'esito del vertice NATO di Washington, che ha riaffermato che il futuro  dell'Ucraina è nella NATO e che l'alleanza sostiene il diritto dell'Ucraina di scegliere le  proprie disposizioni in materia di sicurezza e di decidere il proprio futuro, senza  interferenze esterne; concorda sul fatto che sia l'UE che la NATO hanno dimostrato  </w:t>
      </w:r>
      <w:r>
        <w:rPr>
          <w:rFonts w:ascii="Times New Roman" w:eastAsia="Times New Roman" w:hAnsi="Times New Roman" w:cs="Times New Roman"/>
          <w:color w:val="000000"/>
          <w:sz w:val="24"/>
          <w:szCs w:val="24"/>
        </w:rPr>
        <w:lastRenderedPageBreak/>
        <w:t xml:space="preserve">unità politica nella solidarietà e nell'impegno a sostenere l'Ucraina; ribadisce la sua  convinzione che l'Ucraina stia seguendo un percorso irreversibile verso l'adesione alla  NATO; plaude all'impegno degli alleati a favore di un'assistenza in materia di sicurezza  a lungo termine per la fornitura di attrezzature, sostegno e addestramento militari  all'Ucraina; riconosce il ruolo cruciale della NATO, della cooperazione UE-NATO e  degli alleati della NATO, come gli Stati Uniti e il Regno Unito, nel coordinare gli sforzi  volti a sostenere militarmente l'Ucraina non solo attraverso la fornitura di armi,  munizioni e attrezzature, ma anche di intelligence e dati; </w:t>
      </w:r>
    </w:p>
    <w:p w:rsidR="00A95CCD" w:rsidRDefault="00B6332E">
      <w:pPr>
        <w:pStyle w:val="normal"/>
        <w:widowControl w:val="0"/>
        <w:pBdr>
          <w:top w:val="nil"/>
          <w:left w:val="nil"/>
          <w:bottom w:val="nil"/>
          <w:right w:val="nil"/>
          <w:between w:val="nil"/>
        </w:pBdr>
        <w:spacing w:before="246" w:line="229" w:lineRule="auto"/>
        <w:ind w:left="47" w:right="1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34. accoglie con favore la decisione del Consiglio del 21 maggio 2024 che garantisce che i  proventi netti derivanti dalle entrate straordinarie generate dagli attivi della Banca  centrale russa congelati nell'UE, in conseguenza dell'attuazione delle misure restrittive </w:t>
      </w:r>
    </w:p>
    <w:p w:rsidR="00A95CCD" w:rsidRDefault="00B6332E">
      <w:pPr>
        <w:pStyle w:val="normal"/>
        <w:widowControl w:val="0"/>
        <w:pBdr>
          <w:top w:val="nil"/>
          <w:left w:val="nil"/>
          <w:bottom w:val="nil"/>
          <w:right w:val="nil"/>
          <w:between w:val="nil"/>
        </w:pBdr>
        <w:spacing w:line="229" w:lineRule="auto"/>
        <w:ind w:left="604"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dell'Unione, siano utilizzati per un ulteriore sostegno militare all'Ucraina, nonché per le  sue capacità dell'industria della difesa e per la ricostruzione; accoglie con altrettanto  favore l'accordo raggiunto con il Consiglio, che ha portato alla decisione del Consiglio  del 23 ottobre 2024 di adottare un pacchetto di assistenza finanziaria, comprendente un  prestito eccezionale di assistenza macrofinanziaria fino a 35 miliardi di EUR e  l'istituzione di un meccanismo di cooperazione per i prestiti all'Ucraina che utilizzerà i  contributi raccolti dai proventi degli attivi congelati della Banca centrale russa e sosterrà  l'Ucraina nel rimborso di prestiti fino a 45 miliardi di EUR dall'UE e dai suoi partner del  G7; ricorda tuttavia che la mobilitazione di tale assistenza finanziaria avverrà a scapito  dell'importo stanziato per il sostegno militare dell'UE tramite lo strumento per l'Ucraina,  che ora beneficerà soltanto di un massimo del 15 % dei proventi derivanti dagli attivi  congelati della Banca centrale russa; </w:t>
      </w:r>
    </w:p>
    <w:p w:rsidR="00A95CCD" w:rsidRDefault="00B6332E">
      <w:pPr>
        <w:pStyle w:val="normal"/>
        <w:widowControl w:val="0"/>
        <w:pBdr>
          <w:top w:val="nil"/>
          <w:left w:val="nil"/>
          <w:bottom w:val="nil"/>
          <w:right w:val="nil"/>
          <w:between w:val="nil"/>
        </w:pBdr>
        <w:spacing w:before="246" w:line="229" w:lineRule="auto"/>
        <w:ind w:left="604" w:right="17"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35. accoglie con favore i risultati della missione di assistenza militare dell'UE a sostegno  dell'Ucraina (EUMAM) che, ad oggi, ha addestrato più di 70 000 soldati ucraini sul  territorio dell'Unione, rendendo così l'UE il principale fornitore di addestramento  militare all'Ucraina e contribuendo in modo significativo al rafforzamento della capacità  militare delle forze armate ucraine; prende atto del nuovo obiettivo di formare 75 000  soldati ucraini entro la fine dell'inverno 2024-2025; accoglie con favore la decisione del  Consiglio dell'8 novembre 2024 di prorogare di due anni il mandato della missione;  chiede che le risorse finanziarie, logistiche e umane dell'EUMAM siano ampliate e  adattate all'evoluzione delle esigenze di formazione militare delle forze armate ucraine,  anche nei settori della difesa aerea e marittima, nonché agli sforzi di riforma a lungo  termine richiesti, in linea con gli impegni congiunti in materia di sicurezza tra l'UE e  l'Ucraina; accoglie con favore la forte partecipazione degli Stati membri all'EUMAM,  che può essere considerata un modello per le future missioni di formazione militare, che  promuove la deterrenza migliorando in modo significativo l'interoperabilità tra gli Stati  membri e i partner, e invita gli Stati membri a dare prova di un'ambizione e di contributi  analoghi in altre missioni e operazioni PSDC attuali e future; evidenzia che l'EUMAM  dovrebbe altresì fungere da piattaforma per lo scambio delle migliori pratiche per  garantire anche alle forze europee di trarre vantaggio dagli insegnamenti tratti sul  campo di battaglia dalle forze armate ucraine; accoglie con favore il lancio del  programma NATO di assistenza e formazione in materia di sicurezza per l'Ucraina  (NSATU), annunciato in occasione del vertice NATO di Washington, che coordina la  fornitura di addestramento e attrezzature militari all'Ucraina da parte degli alleati e dei  partner della NATO e fornisce sostegno logistico; sottolinea l'importanza di uno stretto  coordinamento tra l'EUMAM e il NSATU; </w:t>
      </w:r>
    </w:p>
    <w:p w:rsidR="00A95CCD" w:rsidRDefault="00B6332E">
      <w:pPr>
        <w:pStyle w:val="normal"/>
        <w:widowControl w:val="0"/>
        <w:pBdr>
          <w:top w:val="nil"/>
          <w:left w:val="nil"/>
          <w:bottom w:val="nil"/>
          <w:right w:val="nil"/>
          <w:between w:val="nil"/>
        </w:pBdr>
        <w:spacing w:before="246" w:line="229" w:lineRule="auto"/>
        <w:ind w:left="606" w:right="66"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36. elogia l'operato della missione consultiva dell'Unione europea in Ucraina (EUAM  Ucraina) nell'attuazione, in circostanze difficili, del suo nuovo mandato rafforzato;  invita l'UE provvedere affinché l'EUAM possa operare con personale finanziario,  logistico ed esperto adeguato per soddisfare le esigenze dell'Ucraina e accoglie con  </w:t>
      </w:r>
      <w:r>
        <w:rPr>
          <w:rFonts w:ascii="Times New Roman" w:eastAsia="Times New Roman" w:hAnsi="Times New Roman" w:cs="Times New Roman"/>
          <w:color w:val="000000"/>
          <w:sz w:val="24"/>
          <w:szCs w:val="24"/>
        </w:rPr>
        <w:lastRenderedPageBreak/>
        <w:t xml:space="preserve">favore la partecipazione di paesi terzi a tal fine; sottolinea l'importanza dell'EUAM e il  suo ruolo in quanto presenza più significativa dell'UE sul campo, che fornisce  consulenza strategica alle autorità di sicurezza nazionali e statali ucraine; evidenzia i  compiti fondamentali dell'EUAM nella lotta alla criminalità organizzata e  transfrontaliera, nel ripristino dei servizi pubblici nei territori liberati e nel sostegno alle  indagini e al perseguimento dei crimini internazionali, sulla base della presenza e delle  competenze dell'EUAM; </w:t>
      </w:r>
    </w:p>
    <w:p w:rsidR="00A95CCD" w:rsidRDefault="00B6332E">
      <w:pPr>
        <w:pStyle w:val="normal"/>
        <w:widowControl w:val="0"/>
        <w:pBdr>
          <w:top w:val="nil"/>
          <w:left w:val="nil"/>
          <w:bottom w:val="nil"/>
          <w:right w:val="nil"/>
          <w:between w:val="nil"/>
        </w:pBdr>
        <w:spacing w:before="246" w:line="229" w:lineRule="auto"/>
        <w:ind w:left="612" w:right="33"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37. sottolinea l'importanza della cooperazione con l'industria della difesa ucraina e della sua  graduale integrazione nella base industriale e tecnologica di difesa europea (EDTIB) e, </w:t>
      </w:r>
    </w:p>
    <w:p w:rsidR="00A95CCD" w:rsidRDefault="00B6332E">
      <w:pPr>
        <w:pStyle w:val="normal"/>
        <w:widowControl w:val="0"/>
        <w:pBdr>
          <w:top w:val="nil"/>
          <w:left w:val="nil"/>
          <w:bottom w:val="nil"/>
          <w:right w:val="nil"/>
          <w:between w:val="nil"/>
        </w:pBdr>
        <w:spacing w:line="229" w:lineRule="auto"/>
        <w:ind w:left="604" w:right="149"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tal fine, chiede che si tenga pienamente conto della difesa dell'Ucraina nella  preparazione delle nuove iniziative legislative della Commissione volte a rafforzare  l'EDTIB; sottolinea che è opportuno adottare misure concrete per l'integrazione  dell'Ucraina nelle politiche e nei programmi di difesa dell'UE durante il processo di  adesione, anche adattando le forze armate ucraine ai requisiti di capacità dell'UE e  coinvolgendole in progetti e programmi di cooperazione industriale transfrontaliera in  materia di tecnologia e difesa; accoglie con favore, a tale riguardo, l'apertura  dell'Ufficio dell'UE per l'innovazione nel settore della difesa in Ucraina al fine di  individuare le esigenze e le capacità ucraine in materia di innovazione nel settore della  difesa, agevolare le iniziative congiunte e promuovere la cooperazione transfrontaliera  tra i portatori di interessi dell'industria della difesa dell'UE e dell'Ucraina, così da  fungere da punto focale per i partner ucraini, nonché da polo di coordinamento e  informazione; accoglie con favore le iniziative in corso di diversi Stati membri dell'UE  volte ad approfondire la cooperazione con l'Ucraina nel campo della ricerca nel settore  della difesa e della produzione industriale e chiede di sfruttare ancora di più il  potenziale di difesa innovativo dell'Ucraina per sviluppare armi e munizioni e  accelerarne la produzione in stretta cooperazione con l'UE e altri partner occidentali,  avvalendosi dei meccanismi di sostegno disponibili; invita le industrie militari degli  Stati membri dell'UE a tenere fede all'impegno di stabilire una produzione militare in  territorio ucraino; </w:t>
      </w:r>
    </w:p>
    <w:p w:rsidR="00A95CCD" w:rsidRDefault="00B6332E">
      <w:pPr>
        <w:pStyle w:val="normal"/>
        <w:widowControl w:val="0"/>
        <w:pBdr>
          <w:top w:val="nil"/>
          <w:left w:val="nil"/>
          <w:bottom w:val="nil"/>
          <w:right w:val="nil"/>
          <w:between w:val="nil"/>
        </w:pBdr>
        <w:spacing w:before="246" w:line="229" w:lineRule="auto"/>
        <w:ind w:left="606" w:right="-5"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38. evidenzia la necessità di rafforzare le capacità di sminamento all'interno dell'Ucraina per  far fronte alla diffusa presenza di ordigni inesplosi e mine terrestri, nonché di sminare le  acque marine dell'Ucraina nel Mar Nero; sostiene lo stanziamento di risorse dedicate a  sostegno di una formazione completa in materia di sminamento, comprese tecniche  avanzate di rilevamento e smaltimento; osserva che una maggiore capacità di  sminamento non solo faciliterà operazioni militari più sicure, ma sosterrà anche la  ripresa e la sicurezza delle aree civili colpite dalla guerra; </w:t>
      </w:r>
    </w:p>
    <w:p w:rsidR="00A95CCD" w:rsidRDefault="00B6332E">
      <w:pPr>
        <w:pStyle w:val="normal"/>
        <w:widowControl w:val="0"/>
        <w:pBdr>
          <w:top w:val="nil"/>
          <w:left w:val="nil"/>
          <w:bottom w:val="nil"/>
          <w:right w:val="nil"/>
          <w:between w:val="nil"/>
        </w:pBdr>
        <w:spacing w:before="246" w:line="240" w:lineRule="auto"/>
        <w:ind w:left="6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Unire le forze per aumentare le capacità di difesa </w:t>
      </w:r>
    </w:p>
    <w:p w:rsidR="00A95CCD" w:rsidRDefault="00B6332E">
      <w:pPr>
        <w:pStyle w:val="normal"/>
        <w:widowControl w:val="0"/>
        <w:pBdr>
          <w:top w:val="nil"/>
          <w:left w:val="nil"/>
          <w:bottom w:val="nil"/>
          <w:right w:val="nil"/>
          <w:between w:val="nil"/>
        </w:pBdr>
        <w:spacing w:before="235" w:line="229" w:lineRule="auto"/>
        <w:ind w:left="604" w:right="20"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39. accoglie con favore l'ambizione stabilita nell'EDIS di conseguire la prontezza alla difesa  dell'UE e dei suoi Stati membri e di rafforzare l'EDTIB; ritiene essenziale a tale  riguardo la proposta della Commissione di istituire un programma per l'industria  europea della difesa (EDIP); sostiene gli obiettivi di rafforzare la preparazione  industriale dell'UE nel settore della difesa, migliorare la pianificazione congiunta della  difesa e agevolare ulteriormente gli appalti congiunti da parte degli Stati membri, in  linea con le priorità stabilite nel piano di sviluppo delle capacità (CDP) e i settori di  cooperazione individuati nella revisione coordinata annuale sulla difesa, al fine di  avviare progetti europei di interesse comune nel settore della difesa, in particolare nei  settori delle capacità strategiche, come la difesa aerea e missilistica, nonché di garantire  la sicurezza dell'approvvigionamento e l'accesso alle materie prime critiche e di  prevenire carenze nella produzione di difesa; sostiene con forza l'idea di ricorrere  prevalentemente alla cooperazione a livello dell'UE nel settore industriale europeo della  </w:t>
      </w:r>
      <w:r>
        <w:rPr>
          <w:rFonts w:ascii="Times New Roman" w:eastAsia="Times New Roman" w:hAnsi="Times New Roman" w:cs="Times New Roman"/>
          <w:color w:val="000000"/>
          <w:sz w:val="24"/>
          <w:szCs w:val="24"/>
        </w:rPr>
        <w:lastRenderedPageBreak/>
        <w:t xml:space="preserve">difesa e sostiene gli obiettivi concreti quantificati per la cooperazione presentati  nell'EDIS, che si concentrano nello specifico sugli appalti congiunti, in particolare  invitando gli Stati membri ad acquistare almeno il 40 % dei materiali di difesa in modo  collaborativo entro il 2030, a garantire che, entro il 2030, il valore degli scambi </w:t>
      </w:r>
      <w:proofErr w:type="spellStart"/>
      <w:r>
        <w:rPr>
          <w:rFonts w:ascii="Times New Roman" w:eastAsia="Times New Roman" w:hAnsi="Times New Roman" w:cs="Times New Roman"/>
          <w:color w:val="000000"/>
          <w:sz w:val="24"/>
          <w:szCs w:val="24"/>
        </w:rPr>
        <w:t>intra</w:t>
      </w:r>
      <w:proofErr w:type="spellEnd"/>
      <w:r>
        <w:rPr>
          <w:rFonts w:ascii="Times New Roman" w:eastAsia="Times New Roman" w:hAnsi="Times New Roman" w:cs="Times New Roman"/>
          <w:color w:val="000000"/>
          <w:sz w:val="24"/>
          <w:szCs w:val="24"/>
        </w:rPr>
        <w:t xml:space="preserve"> UE nel settore della difesa rappresenti almeno il 35 % del valore del mercato della  difesa dell'UE e ad acquistare almeno il 50 % dei loro investimenti nella difesa  all'interno dell'UE entro il 2030 e il 60 % entro il 2035;</w:t>
      </w:r>
    </w:p>
    <w:p w:rsidR="00A95CCD" w:rsidRDefault="00B6332E">
      <w:pPr>
        <w:pStyle w:val="normal"/>
        <w:widowControl w:val="0"/>
        <w:pBdr>
          <w:top w:val="nil"/>
          <w:left w:val="nil"/>
          <w:bottom w:val="nil"/>
          <w:right w:val="nil"/>
          <w:between w:val="nil"/>
        </w:pBdr>
        <w:spacing w:line="229" w:lineRule="auto"/>
        <w:ind w:left="604" w:right="99"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40. evidenzia l'importanza della cooperazione strutturata permanente (PESCO) per  migliorare e armonizzare le capacità di difesa dell'UE; rileva nuovamente, con  rammarico, che gli Stati membri continuano a non sfruttare appieno il quadro PESCO e  che i risultati concreti nell'ambito dei 66 progetti in corso rimangono limitati; rileva  inoltre con rammarico la mancanza di informazioni fornite al Parlamento in merito ai  motivi della chiusura di sei progetti e ai loro possibili risultati; osserva che gli Stati  membri partecipanti hanno concordato 20 impegni vincolanti al fine di raggiungere  l'ambizione dell'UE in materia di difesa; ritiene che sia necessario procedere a una  revisione approfondita dei progetti PESCO per quanto riguarda i risultati e le  prospettive, al fine di razionalizzare l'attuale serie di progetti in una piccola serie di  progetti prioritari, chiudendo nel contempo i progetti che non registrano progressi  sufficienti; suggerisce di istituire un regime prioritario nell'ambito della PESCO al fine  di affrontare efficacemente le carenze e le priorità individuate in termini di capacità; </w:t>
      </w:r>
    </w:p>
    <w:p w:rsidR="00A95CCD" w:rsidRDefault="00B6332E">
      <w:pPr>
        <w:pStyle w:val="normal"/>
        <w:widowControl w:val="0"/>
        <w:pBdr>
          <w:top w:val="nil"/>
          <w:left w:val="nil"/>
          <w:bottom w:val="nil"/>
          <w:right w:val="nil"/>
          <w:between w:val="nil"/>
        </w:pBdr>
        <w:spacing w:before="246" w:line="229" w:lineRule="auto"/>
        <w:ind w:left="604" w:right="40"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accoglie con favore la proposta della Commissione per un EDIP; prende atto con  preoccupazione della valutazione della Corte dei conti europea secondo cui la dotazione  finanziaria dell'EDIP è insufficiente rispetto ai suoi obiettivi e ribadisce pertanto il suo  invito a garantire i finanziamenti necessari per la difesa; sottolinea che saranno  necessari notevoli sforzi di bilancio affinché l'EDIP abbia un effetto significativo sul  sostegno militare all'Ucraina, sullo sviluppo di un'autentica capacità di difesa dell'UE e  sulla competitività dell'EDTIB; accoglie con favore la revisione del CDP realizzata nel  2023; si rammarica dei limitati progressi compiuti nello sviluppo delle capacità  dall'adozione del primo CDP nel 2008; invita gli Stati membri a intensificare  sensibilmente gli sforzi congiunti per conseguire progressi sostanziali in modo  tempestivo, facendo un uso pieno e coerente degli strumenti dell'UE, tra cui il Fondo  europeo per la difesa (FED), la PESCO e la revisione coordinata annuale sulla difesa,  nonché gli strumenti presentati nella proposta EDIP;  </w:t>
      </w:r>
    </w:p>
    <w:p w:rsidR="00A95CCD" w:rsidRDefault="00B6332E">
      <w:pPr>
        <w:pStyle w:val="normal"/>
        <w:widowControl w:val="0"/>
        <w:pBdr>
          <w:top w:val="nil"/>
          <w:left w:val="nil"/>
          <w:bottom w:val="nil"/>
          <w:right w:val="nil"/>
          <w:between w:val="nil"/>
        </w:pBdr>
        <w:spacing w:before="246" w:line="229" w:lineRule="auto"/>
        <w:ind w:left="606" w:right="128"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accoglie con favore gli sforzi congiunti intrapresi finora per rafforzare la prontezza alla  difesa dell'UE mediante misure che rafforzino e sostengano l'adattamento dell'EDTIB,  in particolare attraverso i regolamenti EDIRPA e ASAP, e ne chiede la rapida  attuazione; si rammarica che la dotazione finanziaria dell'EDIRPA rimanga limitata e  sottolinea che il ruolo dell'ASAP in relazione all'ambizione di fornire all'Ucraina un  milione di munizioni è stato ostacolato dall'obiezione del Consiglio ai suoi elementi  normativi; </w:t>
      </w:r>
    </w:p>
    <w:p w:rsidR="00A95CCD" w:rsidRDefault="00B6332E">
      <w:pPr>
        <w:pStyle w:val="normal"/>
        <w:widowControl w:val="0"/>
        <w:pBdr>
          <w:top w:val="nil"/>
          <w:left w:val="nil"/>
          <w:bottom w:val="nil"/>
          <w:right w:val="nil"/>
          <w:between w:val="nil"/>
        </w:pBdr>
        <w:spacing w:before="246" w:line="229" w:lineRule="auto"/>
        <w:ind w:left="606" w:right="32"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accoglie con favore gli sforzi e gli investimenti finora compiuti dalle imprese  dell'EDTIB per rafforzare la capacità industriale, anche con il sostegno degli strumenti  dell'UE; evidenzia che un ulteriore e duraturo rafforzamento della capacità dell'EDTIB  richiede innanzitutto ordini da parte degli Stati membri, che dovrebbero essere eseguiti  congiuntamente al fine di garantire la prontezza alla difesa dell'Unione, migliorare  l'interoperabilità tra le forze armate degli Stati membri e realizzare economie di scala,  sfruttando così al meglio il denaro dei contribuenti dell'UE; invita di conseguenza gli  Stati membri a intensificare gli sforzi in materia di appalti congiunti in linea con le  lacune di capacità individuate nell'analisi delle carenze di investimenti nel settore della  difesa e con le priorità in termini di capacità del CDP; sottolinea che appalti congiunti  efficaci per quanto riguarda i progetti di sviluppo, soprattutto nel quadro del FES,  </w:t>
      </w:r>
      <w:r>
        <w:rPr>
          <w:rFonts w:ascii="Times New Roman" w:eastAsia="Times New Roman" w:hAnsi="Times New Roman" w:cs="Times New Roman"/>
          <w:color w:val="000000"/>
          <w:sz w:val="24"/>
          <w:szCs w:val="24"/>
        </w:rPr>
        <w:lastRenderedPageBreak/>
        <w:t xml:space="preserve">richiedono una definizione congiunta dei requisiti militari dei rispettivi sistemi al fine di  conseguire adeguate economie di scala; invita la Commissione, a tale proposito, ad  avvalersi delle competenze del comitato militare dell'UE per elaborare tale definizione  congiunta al fine di garantire la coerenza militare a livello industriale; invita gli Stati  membri a condurre appalti congiunti con l'obiettivo di costruire catene del valore </w:t>
      </w:r>
    </w:p>
    <w:p w:rsidR="00A95CCD" w:rsidRDefault="00B6332E">
      <w:pPr>
        <w:pStyle w:val="normal"/>
        <w:widowControl w:val="0"/>
        <w:pBdr>
          <w:top w:val="nil"/>
          <w:left w:val="nil"/>
          <w:bottom w:val="nil"/>
          <w:right w:val="nil"/>
          <w:between w:val="nil"/>
        </w:pBdr>
        <w:spacing w:line="229" w:lineRule="auto"/>
        <w:ind w:left="604" w:right="127"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paneuropee distribuendo la produzione in tutta l'Unione e aumentando in tal modo  l'attrattiva economica degli appalti congiunti, creando nel contempo ridondanze  strategiche delle capacità di produzione per una maggiore resilienza in caso di conflitto  armato; invita inoltre gli Stati membri e la Commissione a puntare a un ulteriore  rafforzamento dei meccanismi di aggiudicazione congiunta e a un coordinamento  sufficiente da parte dell'Agenzia europea per la difesa; </w:t>
      </w:r>
    </w:p>
    <w:p w:rsidR="00A95CCD" w:rsidRDefault="00B6332E">
      <w:pPr>
        <w:pStyle w:val="normal"/>
        <w:widowControl w:val="0"/>
        <w:pBdr>
          <w:top w:val="nil"/>
          <w:left w:val="nil"/>
          <w:bottom w:val="nil"/>
          <w:right w:val="nil"/>
          <w:between w:val="nil"/>
        </w:pBdr>
        <w:spacing w:before="246" w:line="229" w:lineRule="auto"/>
        <w:ind w:left="604" w:right="79"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 sottolinea la necessità di sostenere ulteriormente la transizione dei progetti di sviluppo  verso soluzioni commerciabili e accoglie con favore la disposizione contenuta nella  proposta sull'EDIP a tale riguardo; deplora l'inutile e disfunzionale duplicazione degli  sforzi per quanto riguarda i progetti sul futuro carro armato da combattimento e  sull'intercettore ipersonico; esprime preoccupazione per il fatto che tali duplicazioni  contrastino con l'ambizione, stabilita nell'EDIS, di ricavare il 60 % delle acquisizioni  dall'EDTIB entro il 2035, in quanto la dispersione delle risorse allungherà i tempi  necessari per conseguire soluzioni commercializzabili, portando quindi molto  probabilmente ad acquisizioni dagli Stati Uniti; deplora inoltre i crescenti ritardi dei  progetti sulle capacità essenziali, in particolare il progetto franco-tedesco sul sistema  principale di combattimento terrestre (</w:t>
      </w:r>
      <w:proofErr w:type="spellStart"/>
      <w:r>
        <w:rPr>
          <w:rFonts w:ascii="Times New Roman" w:eastAsia="Times New Roman" w:hAnsi="Times New Roman" w:cs="Times New Roman"/>
          <w:color w:val="000000"/>
          <w:sz w:val="24"/>
          <w:szCs w:val="24"/>
        </w:rPr>
        <w:t>Main</w:t>
      </w:r>
      <w:proofErr w:type="spellEnd"/>
      <w:r>
        <w:rPr>
          <w:rFonts w:ascii="Times New Roman" w:eastAsia="Times New Roman" w:hAnsi="Times New Roman" w:cs="Times New Roman"/>
          <w:color w:val="000000"/>
          <w:sz w:val="24"/>
          <w:szCs w:val="24"/>
        </w:rPr>
        <w:t xml:space="preserve"> Ground Combat System) e il progetto  </w:t>
      </w:r>
      <w:proofErr w:type="spellStart"/>
      <w:r>
        <w:rPr>
          <w:rFonts w:ascii="Times New Roman" w:eastAsia="Times New Roman" w:hAnsi="Times New Roman" w:cs="Times New Roman"/>
          <w:color w:val="000000"/>
          <w:sz w:val="24"/>
          <w:szCs w:val="24"/>
        </w:rPr>
        <w:t>franco-tedesco-spagnolo</w:t>
      </w:r>
      <w:proofErr w:type="spellEnd"/>
      <w:r>
        <w:rPr>
          <w:rFonts w:ascii="Times New Roman" w:eastAsia="Times New Roman" w:hAnsi="Times New Roman" w:cs="Times New Roman"/>
          <w:color w:val="000000"/>
          <w:sz w:val="24"/>
          <w:szCs w:val="24"/>
        </w:rPr>
        <w:t xml:space="preserve"> sul futuro sistema aereo di combattimento (Future Combat Air  System), che comportano a loro volta il rischio di portare a future acquisizioni di  soluzioni statunitensi; sottolinea che dovrebbero essere sfruttate tutte le possibili  sinergie con il FED evitando la duplicazione degli sforzi; </w:t>
      </w:r>
    </w:p>
    <w:p w:rsidR="00A95CCD" w:rsidRDefault="00B6332E">
      <w:pPr>
        <w:pStyle w:val="normal"/>
        <w:widowControl w:val="0"/>
        <w:pBdr>
          <w:top w:val="nil"/>
          <w:left w:val="nil"/>
          <w:bottom w:val="nil"/>
          <w:right w:val="nil"/>
          <w:between w:val="nil"/>
        </w:pBdr>
        <w:spacing w:before="246" w:line="229" w:lineRule="auto"/>
        <w:ind w:left="604" w:right="77"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insiste sulla necessità di garantire la coerenza dei risultati tra i rispettivi processi di  pianificazione dello sviluppo delle capacità dell'UE e della NATO; chiede di migliorare  l'interoperabilità delle attrezzature militari degli Stati membri dell'UE e degli alleati  della NATO e di promuovere la cooperazione industriale garantendo che le future  norme giuridiche dell'UE per i componenti e le munizioni dei prodotti della difesa si  basino sulle norme della NATO; </w:t>
      </w:r>
    </w:p>
    <w:p w:rsidR="00A95CCD" w:rsidRDefault="00B6332E">
      <w:pPr>
        <w:pStyle w:val="normal"/>
        <w:widowControl w:val="0"/>
        <w:pBdr>
          <w:top w:val="nil"/>
          <w:left w:val="nil"/>
          <w:bottom w:val="nil"/>
          <w:right w:val="nil"/>
          <w:between w:val="nil"/>
        </w:pBdr>
        <w:spacing w:before="246" w:line="229" w:lineRule="auto"/>
        <w:ind w:left="607" w:right="19" w:hanging="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accoglie con favore la proposta di progetti europei di interesse comune nel settore della  difesa riguardanti lo sviluppo di capacità comuni che vadano oltre i mezzi finanziari del  singolo Stato membro; è del parere che questi progetti dovrebbero essere utilizzati per  sostenere le capacità industriali e tecnologiche alla base delle principali priorità comuni  di vari Stati membri e in settori come quello della protezione delle frontiere esterne e  della difesa, in particolare nel settore terrestre, e per fornire sostegno agli abilitanti  strategici, in particolare in relazione allo spazio e alla difesa aerea europea, negli  interventi in risposta all'intera gamma di minacce, per promuovere la mobilità militare,  segnatamente il trasporto aereo strategico e tattico, gli attacchi in profondità, le  tecnologie relative ai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e al contrasto dei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i missili, le munizioni e  l'intelligenza artificiale, al fine di sviluppare infrastrutture sovrane e abilitanti critici;  sottolinea che, in considerazione del gran numero di priorità e della necessità di  mobilitare nuove risorse, il pragmatismo deve prevalere; ritiene, a tale proposito, che  l'UE dovrebbe concentrarsi, ove possibile, su tecnologie europee rapidamente  disponibili e collaudate che riducano gradualmente le dipendenze dell'Unione e  migliorino la sua sicurezza; mette in evidenza la necessità di sostenere lo sviluppo di  catene del valore paneuropee nella cooperazione dell'UE in materia di difesa integrando  imprese di tutta l'Unione e di rafforzare la competitività nel settore con vari mezzi,  come le fusioni e i campioni; ritiene, inoltre, che, anziché concentrarsi su un rendimento  </w:t>
      </w:r>
      <w:r>
        <w:rPr>
          <w:rFonts w:ascii="Times New Roman" w:eastAsia="Times New Roman" w:hAnsi="Times New Roman" w:cs="Times New Roman"/>
          <w:color w:val="000000"/>
          <w:sz w:val="24"/>
          <w:szCs w:val="24"/>
        </w:rPr>
        <w:lastRenderedPageBreak/>
        <w:t>equo, le politiche di difesa dell'UE dovrebbero incoraggiare la crescita dei centri di  eccellenza dell'UE;</w:t>
      </w:r>
    </w:p>
    <w:p w:rsidR="00A95CCD" w:rsidRDefault="00B6332E">
      <w:pPr>
        <w:pStyle w:val="normal"/>
        <w:widowControl w:val="0"/>
        <w:pBdr>
          <w:top w:val="nil"/>
          <w:left w:val="nil"/>
          <w:bottom w:val="nil"/>
          <w:right w:val="nil"/>
          <w:between w:val="nil"/>
        </w:pBdr>
        <w:spacing w:line="229" w:lineRule="auto"/>
        <w:ind w:left="604" w:right="71" w:hanging="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evidenzia la necessità vitale di superare la frammentazione del panorama industriale  della difesa dell'UE e di conseguire infine la piena attuazione del mercato interno dei  prodotti per la difesa dell'UE, dal momento che l'attuale struttura comporta inutili  duplicazioni e il moltiplicarsi di inefficienze negli investimenti nella difesa e nel loro  utilizzo, oltre a ostacolare strutturalmente il rafforzamento della prontezza alla difesa;  esprime preoccupazione per il fatto che il mercato interno dei prodotti per la difesa sia  ancora compromesso da un'applicazione non sufficientemente armonizzata delle sue  norme da parte degli Stati membri e da un uso sproporzionato dell'esenzione di cui  all'articolo 346 TFUE; appoggia la richiesta di creare un vero mercato unico per i  prodotti e i servizi per la difesa, come illustrato anche nella relazione </w:t>
      </w:r>
      <w:proofErr w:type="spellStart"/>
      <w:r>
        <w:rPr>
          <w:rFonts w:ascii="Times New Roman" w:eastAsia="Times New Roman" w:hAnsi="Times New Roman" w:cs="Times New Roman"/>
          <w:color w:val="000000"/>
          <w:sz w:val="24"/>
          <w:szCs w:val="24"/>
        </w:rPr>
        <w:t>Niinistö</w:t>
      </w:r>
      <w:proofErr w:type="spellEnd"/>
      <w:r>
        <w:rPr>
          <w:rFonts w:ascii="Times New Roman" w:eastAsia="Times New Roman" w:hAnsi="Times New Roman" w:cs="Times New Roman"/>
          <w:color w:val="000000"/>
          <w:sz w:val="24"/>
          <w:szCs w:val="24"/>
        </w:rPr>
        <w:t>;  evidenzia la necessità di un quadro normativo aggiornato ed efficace volto a ridurre gli  ostacoli all'ingresso sul mercato dei prodotti per la difesa, a consentire il  consolidamento industriale dell'UE nel settore della difesa e a permettere alle imprese  dell'UE di sfruttare appieno il potenziale commerciale, incoraggiando l'innovazione e  una cooperazione transfrontaliera e civile e militare sempre più agevole, promuovendo  la produzione, aumentando la sicurezza dell'approvvigionamento e garantendo  investimenti pubblici più intelligenti ed efficienti nell'EDTIB; sottolinea, al contempo,  l'importanza di mantenere una concorrenza proficua tra i diversi concorrenti e di evitare  oligopoli in cui i singoli fornitori possono determinare liberamente i prezzi e la  disponibilità dei beni per la difesa; invita la Commissione a presentare proposte per il  completamento del mercato interno della difesa dell'UE basate, in particolare, sulla  valutazione delle norme dell'Unione in materia di appalti nel settore della difesa e di  trasferimento dei prodotti per la difesa, nonché sull'individuazione e l'analisi delle  limitazioni e delle lacune dell'attuale quadro giuridico; invita inoltre la Commissione a  formulare suggerimenti per un'interpretazione dell'articolo 346 TFUE in linea con  l'attuale realtà di un'architettura di sicurezza interdipendente nell'UE; chiede di  migliorare l'attuazione della direttiva 2009/81/CE relativa agli appalti sensibili nel  settore della difesa e della sicurezza</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e della direttiva 2009/43/CE relativa ai  trasferimenti </w:t>
      </w:r>
      <w:proofErr w:type="spellStart"/>
      <w:r>
        <w:rPr>
          <w:rFonts w:ascii="Times New Roman" w:eastAsia="Times New Roman" w:hAnsi="Times New Roman" w:cs="Times New Roman"/>
          <w:color w:val="000000"/>
          <w:sz w:val="24"/>
          <w:szCs w:val="24"/>
        </w:rPr>
        <w:t>intra-UE</w:t>
      </w:r>
      <w:proofErr w:type="spellEnd"/>
      <w:r>
        <w:rPr>
          <w:rFonts w:ascii="Times New Roman" w:eastAsia="Times New Roman" w:hAnsi="Times New Roman" w:cs="Times New Roman"/>
          <w:color w:val="000000"/>
          <w:sz w:val="24"/>
          <w:szCs w:val="24"/>
        </w:rPr>
        <w:t xml:space="preserve"> di prodotti per la difesa (direttiva sui trasferimenti)</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e, ove  necessario, alla luce dell'EDIS, di presentare proposte di revisione di tali direttive; </w:t>
      </w:r>
    </w:p>
    <w:p w:rsidR="00A95CCD" w:rsidRDefault="00B6332E">
      <w:pPr>
        <w:pStyle w:val="normal"/>
        <w:widowControl w:val="0"/>
        <w:pBdr>
          <w:top w:val="nil"/>
          <w:left w:val="nil"/>
          <w:bottom w:val="nil"/>
          <w:right w:val="nil"/>
          <w:between w:val="nil"/>
        </w:pBdr>
        <w:spacing w:before="246" w:line="229" w:lineRule="auto"/>
        <w:ind w:left="607" w:right="27" w:hanging="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 sottolinea l'importanza di garantire uno sforzo equilibrato tra il rafforzamento delle  attuali capacità industriali degli Stati membri in materia di armamenti nel breve e medio  termine e il sostegno alla ricerca e allo sviluppo (</w:t>
      </w:r>
      <w:proofErr w:type="spellStart"/>
      <w:r>
        <w:rPr>
          <w:rFonts w:ascii="Times New Roman" w:eastAsia="Times New Roman" w:hAnsi="Times New Roman" w:cs="Times New Roman"/>
          <w:color w:val="000000"/>
          <w:sz w:val="24"/>
          <w:szCs w:val="24"/>
        </w:rPr>
        <w:t>R&amp;S</w:t>
      </w:r>
      <w:proofErr w:type="spellEnd"/>
      <w:r>
        <w:rPr>
          <w:rFonts w:ascii="Times New Roman" w:eastAsia="Times New Roman" w:hAnsi="Times New Roman" w:cs="Times New Roman"/>
          <w:color w:val="000000"/>
          <w:sz w:val="24"/>
          <w:szCs w:val="24"/>
        </w:rPr>
        <w:t xml:space="preserve">) di attrezzature militari e  armamenti nuovi e innovativi adeguati alle esigenze attuali e future delle forze armate  degli Stati membri e alle capacità di difesa dell'UE, come quelle richieste dalle missioni  e operazioni PSDC e dalla capacità di dispiegamento rapido dell'UE; evidenzia che  dovrebbe essere data priorità al mantenimento e al rafforzamento del vantaggio  tecnologico attraverso progetti strategici mirati quale elemento chiave di deterrenza nei  confronti dei nostri avversari e concorrenti; sottolinea l'importanza di includere tutti gli  Stati membri nelle strategie di sicurezza e di difesa, in particolare per quanto riguarda lo  </w:t>
      </w:r>
    </w:p>
    <w:p w:rsidR="00A95CCD" w:rsidRDefault="00B6332E">
      <w:pPr>
        <w:pStyle w:val="normal"/>
        <w:widowControl w:val="0"/>
        <w:pBdr>
          <w:top w:val="nil"/>
          <w:left w:val="nil"/>
          <w:bottom w:val="nil"/>
          <w:right w:val="nil"/>
          <w:between w:val="nil"/>
        </w:pBdr>
        <w:spacing w:before="396" w:line="216" w:lineRule="auto"/>
        <w:ind w:left="606" w:right="17" w:hanging="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Direttiva 2009/81/CE del Parlamento europeo e del Consiglio, del 13 luglio 2009,  relativa al coordinamento delle procedure per l'aggiudicazione di taluni appalti di lavori,  di forniture e di servizi nei settori della difesa e della sicurezza da parte delle  amministrazioni aggiudicatrici/degli enti aggiudicatori, e recante modifica delle  direttive 2004/17/CE e 2004/18/CE (GU L 216 del 20.8.2009, pag. 76, ELI:  </w:t>
      </w:r>
      <w:r>
        <w:rPr>
          <w:rFonts w:ascii="Times New Roman" w:eastAsia="Times New Roman" w:hAnsi="Times New Roman" w:cs="Times New Roman"/>
          <w:color w:val="0563C1"/>
          <w:sz w:val="24"/>
          <w:szCs w:val="24"/>
          <w:u w:val="single"/>
        </w:rPr>
        <w:t>http://data.europa.eu/eli/dir/2009/81/oj</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3" w:line="216" w:lineRule="auto"/>
        <w:ind w:left="604" w:right="205"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Direttiva 2009/43/CE del Parlamento europeo e del Consiglio, del 6 maggio 2009, che  semplifica le modalità e le condizioni dei trasferimenti all'interno della Comunità di  prodotti per la difesa (GU L 146 del 10.6.2009, pag. 1, ELI:  </w:t>
      </w:r>
    </w:p>
    <w:p w:rsidR="00A95CCD" w:rsidRDefault="00B6332E">
      <w:pPr>
        <w:pStyle w:val="normal"/>
        <w:widowControl w:val="0"/>
        <w:pBdr>
          <w:top w:val="nil"/>
          <w:left w:val="nil"/>
          <w:bottom w:val="nil"/>
          <w:right w:val="nil"/>
          <w:between w:val="nil"/>
        </w:pBdr>
        <w:spacing w:before="3" w:line="240" w:lineRule="auto"/>
        <w:ind w:left="60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lastRenderedPageBreak/>
        <w:t>http://data.europa.eu/eli/dir/2009/43/oj</w:t>
      </w:r>
      <w:r>
        <w:rPr>
          <w:rFonts w:ascii="Times New Roman" w:eastAsia="Times New Roman" w:hAnsi="Times New Roman" w:cs="Times New Roman"/>
          <w:color w:val="000000"/>
          <w:sz w:val="24"/>
          <w:szCs w:val="24"/>
          <w:u w:val="single"/>
        </w:rPr>
        <w:t>)</w:t>
      </w:r>
      <w:r>
        <w:rPr>
          <w:rFonts w:ascii="Times New Roman" w:eastAsia="Times New Roman" w:hAnsi="Times New Roman" w:cs="Times New Roman"/>
          <w:color w:val="000000"/>
          <w:sz w:val="24"/>
          <w:szCs w:val="24"/>
        </w:rPr>
        <w:t>.</w:t>
      </w:r>
    </w:p>
    <w:p w:rsidR="00A95CCD" w:rsidRDefault="00B6332E">
      <w:pPr>
        <w:pStyle w:val="normal"/>
        <w:widowControl w:val="0"/>
        <w:pBdr>
          <w:top w:val="nil"/>
          <w:left w:val="nil"/>
          <w:bottom w:val="nil"/>
          <w:right w:val="nil"/>
          <w:between w:val="nil"/>
        </w:pBdr>
        <w:spacing w:line="240" w:lineRule="auto"/>
        <w:ind w:left="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sviluppo dell'industria della difesa; </w:t>
      </w:r>
    </w:p>
    <w:p w:rsidR="00A95CCD" w:rsidRDefault="00B6332E">
      <w:pPr>
        <w:pStyle w:val="normal"/>
        <w:widowControl w:val="0"/>
        <w:pBdr>
          <w:top w:val="nil"/>
          <w:left w:val="nil"/>
          <w:bottom w:val="nil"/>
          <w:right w:val="nil"/>
          <w:between w:val="nil"/>
        </w:pBdr>
        <w:spacing w:before="235" w:line="229" w:lineRule="auto"/>
        <w:ind w:left="606" w:right="194" w:hanging="5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sottolinea la necessità di sviluppare una politica efficace in materia di armamenti a  livello dell'UE che includa la creazione di una dimensione commerciale esterna  funzionante ed efficace, miri a sostenere i partner che si trovano ad affrontare minacce  da parte di regimi autoritari aggressivi e impedisca la fornitura di armi a regimi  aggressivi non democratici in linea con gli otto criteri esistenti dell'UE; sottolinea la  necessità di superare l'interpretazione molto restrittiva e nazionale dell'articolo 346  TFUE a tale riguardo;  </w:t>
      </w:r>
    </w:p>
    <w:p w:rsidR="00A95CCD" w:rsidRDefault="00B6332E">
      <w:pPr>
        <w:pStyle w:val="normal"/>
        <w:widowControl w:val="0"/>
        <w:pBdr>
          <w:top w:val="nil"/>
          <w:left w:val="nil"/>
          <w:bottom w:val="nil"/>
          <w:right w:val="nil"/>
          <w:between w:val="nil"/>
        </w:pBdr>
        <w:spacing w:before="246" w:line="229" w:lineRule="auto"/>
        <w:ind w:left="604" w:right="87"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 sottolinea che la cooperazione con i partner internazionali nel settore della difesa  dovrebbe essere limitata a partner che condividono gli stessi principi e non dovrebbe  violare gli interessi di sicurezza e difesa dell'UE e dei suoi Stati membri; ricorda che la  dipendenza da fornitori ad alto rischio di prodotti critici con elementi digitali  rappresenta un rischio strategico che dovrebbe essere affrontato a livello dell'UE; invita  le autorità competenti degli Stati membri a riflettere su come ridurre tali dipendenze e a  effettuare una valutazione e un riesame immediati degli investimenti cinesi esistenti  nelle infrastrutture critiche, tra cui le reti elettriche, le reti di trasporto e i sistemi di  informazione e comunicazione, al fine di individuare eventuali vulnerabilità che  potrebbero incidere sulla sicurezza e sulla difesa dell'Unione;  </w:t>
      </w:r>
    </w:p>
    <w:p w:rsidR="00A95CCD" w:rsidRDefault="00B6332E">
      <w:pPr>
        <w:pStyle w:val="normal"/>
        <w:widowControl w:val="0"/>
        <w:pBdr>
          <w:top w:val="nil"/>
          <w:left w:val="nil"/>
          <w:bottom w:val="nil"/>
          <w:right w:val="nil"/>
          <w:between w:val="nil"/>
        </w:pBdr>
        <w:spacing w:before="246" w:line="229" w:lineRule="auto"/>
        <w:ind w:left="49"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accoglie con favore il regolamento dell'UE sugli investimenti esteri diretti; sottolinea la  necessità di rafforzare ulteriormente le procedure di controllo degli IED integrando  norme in materia di dovuta diligenza per individuare i casi in cui i governi degli Stati  esercitano un effetto leva sugli investitori nelle infrastrutture critiche dell'UE, come i  porti europei, e nei cavi sottomarini nel Mar Baltico, nel Mediterraneo e nell'Artico in  modi che violerebbero gli interessi di sicurezza e di difesa dell'Unione e dei suoi Stati  membri, come stabilito nel quadro della PESC a norma del titolo V TUE; sottolinea che  tale approccio dovrebbe essere applicato anche ai paesi candidati; ritiene che sia  necessaria un'ulteriore legislazione per proteggere efficacemente la sicurezza della  catena di approvvigionamento delle TIC europee dai fornitori ad alto rischio e per  proteggere dai furti di proprietà intellettuale favoriti dall'informatica; chiede l'istituzione  di un quadro europeo finalizzato a una regolamentazione rigorosa e alla definizione di  norme e condizioni minime per l'esportazione di proprietà intellettuale e tecnologie  essenziali per la sicurezza e la difesa dell'Unione, compresi i beni a duplice uso;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Ricerca e sviluppo in materia di tecnologie e attrezzature di difesa </w:t>
      </w:r>
    </w:p>
    <w:p w:rsidR="00A95CCD" w:rsidRDefault="00B6332E">
      <w:pPr>
        <w:pStyle w:val="normal"/>
        <w:widowControl w:val="0"/>
        <w:pBdr>
          <w:top w:val="nil"/>
          <w:left w:val="nil"/>
          <w:bottom w:val="nil"/>
          <w:right w:val="nil"/>
          <w:between w:val="nil"/>
        </w:pBdr>
        <w:spacing w:before="277" w:line="229" w:lineRule="auto"/>
        <w:ind w:left="49" w:right="8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è favorevole a un aumento significativo degli investimenti in ricerca e sviluppo nel  settore della difesa, con particolare attenzione alle iniziative di collaborazione, così da  rafforzare la leadership dell'UE in ambito tecnologico e la sua competitività nel settore  della difesa e garantire ricadute nel mercato civile; rileva a questo proposito che, nel  2022, gli Stati membri hanno investito circa 10,7 miliardi di EUR in ricerca e sviluppo  nel settore della difesa; sottolinea che il progresso tecnologico in settori critici – aereo,  terrestre, marittimo, spaziale e </w:t>
      </w:r>
      <w:proofErr w:type="spellStart"/>
      <w:r>
        <w:rPr>
          <w:rFonts w:ascii="Times New Roman" w:eastAsia="Times New Roman" w:hAnsi="Times New Roman" w:cs="Times New Roman"/>
          <w:color w:val="000000"/>
          <w:sz w:val="24"/>
          <w:szCs w:val="24"/>
        </w:rPr>
        <w:t>ciberspaziale</w:t>
      </w:r>
      <w:proofErr w:type="spellEnd"/>
      <w:r>
        <w:rPr>
          <w:rFonts w:ascii="Times New Roman" w:eastAsia="Times New Roman" w:hAnsi="Times New Roman" w:cs="Times New Roman"/>
          <w:color w:val="000000"/>
          <w:sz w:val="24"/>
          <w:szCs w:val="24"/>
        </w:rPr>
        <w:t xml:space="preserve"> – necessita di investimenti stabili e a lungo  termine in tutti gli Stati membri per stare al passo con la rapida innovazione globale; </w:t>
      </w:r>
    </w:p>
    <w:p w:rsidR="00A95CCD" w:rsidRDefault="00B6332E">
      <w:pPr>
        <w:pStyle w:val="normal"/>
        <w:widowControl w:val="0"/>
        <w:pBdr>
          <w:top w:val="nil"/>
          <w:left w:val="nil"/>
          <w:bottom w:val="nil"/>
          <w:right w:val="nil"/>
          <w:between w:val="nil"/>
        </w:pBdr>
        <w:spacing w:before="246" w:line="229" w:lineRule="auto"/>
        <w:ind w:left="607" w:right="130" w:hanging="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53. sottolinea la necessità che gli strumenti di ricerca e sviluppo dell'UE e i relativi  finanziamenti siano utilizzati nel modo più efficace possibile per affrontare  tempestivamente le lacune e le priorità in termini di capacità, come indicato nell'analisi  delle carenze di investimenti nel settore della difesa e nel CDP; invita pertanto la  Commissione e gli Stati membri ad allineare i progetti e i finanziamenti del FED alle </w:t>
      </w:r>
    </w:p>
    <w:p w:rsidR="00A95CCD" w:rsidRDefault="00B6332E">
      <w:pPr>
        <w:pStyle w:val="normal"/>
        <w:widowControl w:val="0"/>
        <w:pBdr>
          <w:top w:val="nil"/>
          <w:left w:val="nil"/>
          <w:bottom w:val="nil"/>
          <w:right w:val="nil"/>
          <w:between w:val="nil"/>
        </w:pBdr>
        <w:spacing w:line="229" w:lineRule="auto"/>
        <w:ind w:left="604"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urgenti esigenze dell'UE in termini di capacità, e a definire le priorità al riguardo in base  </w:t>
      </w:r>
      <w:r>
        <w:rPr>
          <w:rFonts w:ascii="Times New Roman" w:eastAsia="Times New Roman" w:hAnsi="Times New Roman" w:cs="Times New Roman"/>
          <w:color w:val="000000"/>
          <w:sz w:val="24"/>
          <w:szCs w:val="24"/>
        </w:rPr>
        <w:lastRenderedPageBreak/>
        <w:t xml:space="preserve">a dette esigenze, nonché a concentrarsi sulle attività di ricerca più pertinenti e  promettenti; invita inoltre la Commissione ad avviare una revisione approfondita del  FED in vista di uno strumento finanziario di follow-up rivisto per il prossimo quadro  finanziario pluriennale (QFP); invita la Commissione e gli Stati membri ad adottare, in  sede di attuazione dei pertinenti fondi dell'UE, un approccio che integri una bassa  impronta energetica, ambientale e di carbonio fin dalla progettazione, e a riferire  periodicamente sui progressi compiuti; ricorda che le azioni di ricerca e sviluppo  possono essere indirizzate verso soluzioni intese a migliorare l'efficienza, ridurre  l'impronta di carbonio e stabilire migliori pratiche sostenibili; accoglie con favore  l'investimento di 133 milioni di EUR previsto nel primo programma di lavoro annuale,  ma osserva che esso rappresenta solo l'11 % del bilancio annuale complessivo del FED;  ricorda il ruolo di </w:t>
      </w:r>
      <w:proofErr w:type="spellStart"/>
      <w:r>
        <w:rPr>
          <w:rFonts w:ascii="Times New Roman" w:eastAsia="Times New Roman" w:hAnsi="Times New Roman" w:cs="Times New Roman"/>
          <w:color w:val="000000"/>
          <w:sz w:val="24"/>
          <w:szCs w:val="24"/>
        </w:rPr>
        <w:t>NextGenerationEU</w:t>
      </w:r>
      <w:proofErr w:type="spellEnd"/>
      <w:r>
        <w:rPr>
          <w:rFonts w:ascii="Times New Roman" w:eastAsia="Times New Roman" w:hAnsi="Times New Roman" w:cs="Times New Roman"/>
          <w:color w:val="000000"/>
          <w:sz w:val="24"/>
          <w:szCs w:val="24"/>
        </w:rPr>
        <w:t xml:space="preserve"> nell'azione per il clima e invita gli Stati membri a  utilizzare le risorse dei loro piani nazionali di ripresa per investire nella sostenibilità  delle infrastrutture militari; </w:t>
      </w:r>
    </w:p>
    <w:p w:rsidR="00A95CCD" w:rsidRDefault="00B6332E">
      <w:pPr>
        <w:pStyle w:val="normal"/>
        <w:widowControl w:val="0"/>
        <w:pBdr>
          <w:top w:val="nil"/>
          <w:left w:val="nil"/>
          <w:bottom w:val="nil"/>
          <w:right w:val="nil"/>
          <w:between w:val="nil"/>
        </w:pBdr>
        <w:spacing w:before="246" w:line="240" w:lineRule="auto"/>
        <w:ind w:left="5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Tecnologie a duplice uso e tecnologie emergenti e di rottura </w:t>
      </w:r>
    </w:p>
    <w:p w:rsidR="00A95CCD" w:rsidRDefault="00B6332E">
      <w:pPr>
        <w:pStyle w:val="normal"/>
        <w:widowControl w:val="0"/>
        <w:pBdr>
          <w:top w:val="nil"/>
          <w:left w:val="nil"/>
          <w:bottom w:val="nil"/>
          <w:right w:val="nil"/>
          <w:between w:val="nil"/>
        </w:pBdr>
        <w:spacing w:before="235" w:line="229" w:lineRule="auto"/>
        <w:ind w:left="604" w:right="12"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54. sottolinea la necessità di una maggiore intraprendenza dell'UE nel sostenere  investimenti nelle tecnologie a duplice uso, applicabili sia in contesti civili che militari,  come mezzo per rafforzare la resilienza dell'UE rispetto alle minacce ibride ed  emergenti; evidenzia che è necessario sostenere, in particolare, la sperimentazione di  prototipi di nuovi prodotti e concentrarsi sulle nuove tecnologie in stretta collaborazione  con gli esperti ucraini in ambito tecnologico e della difesa; sottolinea l'importanza di  garantire la sostenibilità finanziaria delle imprese che investono in tali innovazioni,  comprese le piccole e medie imprese (PMI); sostiene la promozione della  commercializzazione civile di tali tecnologie come modalità per ampliare le opportunità  di mercato e rafforzare la base industriale europea potenziando le sinergie tra lo  sviluppo militare e quello civile; </w:t>
      </w:r>
    </w:p>
    <w:p w:rsidR="00A95CCD" w:rsidRDefault="00B6332E">
      <w:pPr>
        <w:pStyle w:val="normal"/>
        <w:widowControl w:val="0"/>
        <w:pBdr>
          <w:top w:val="nil"/>
          <w:left w:val="nil"/>
          <w:bottom w:val="nil"/>
          <w:right w:val="nil"/>
          <w:between w:val="nil"/>
        </w:pBdr>
        <w:spacing w:before="246" w:line="229" w:lineRule="auto"/>
        <w:ind w:left="604"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sottolinea l'importante ruolo svolto nel settore della difesa dalle tecnologie di rottura  emergenti, quali l'intelligenza artificiale, il calcolo quantistico, il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computing</w:t>
      </w:r>
      <w:proofErr w:type="spellEnd"/>
      <w:r>
        <w:rPr>
          <w:rFonts w:ascii="Times New Roman" w:eastAsia="Times New Roman" w:hAnsi="Times New Roman" w:cs="Times New Roman"/>
          <w:color w:val="000000"/>
          <w:sz w:val="24"/>
          <w:szCs w:val="24"/>
        </w:rPr>
        <w:t xml:space="preserve"> e la  robotica; sottolinea che per sviluppare e sfruttare tali tecnologie nel settore della difesa  sono necessari ulteriori investimenti e ricerche coordinati dall'UE, cosicché i fornitori di  attrezzature di difesa dell'Unione possano rimanere all'avanguardia nell'innovazione;  osserva che, visti i lunghi cicli di attuazione previsti dal regolamento che istituisce il  FED, la Commissione non finanzia tempestivamente i progetti di ricerca; chiede  pertanto un approccio più flessibile e più rapido per i progetti di ricerca sulle tecnologie  emergenti e di rottura, che rispecchi il ritmo incalzante degli sviluppi in tale settore sulla  base delle attività del polo di innovazione nel settore della difesa dell'Agenzia europea  per la difesa e del lavoro dell'agenzia statunitense per i progetti di ricerca avanzati  nell'ambito della difesa (DARPA); chiede inoltre che l'UE svolga un ruolo di primo  piano nella promozione della ricerca sulle applicazioni dell'intelligenza artificiale in  campo militare e nell'elaborazione di quadri di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per lo sviluppo e l'uso  responsabili di tale tecnologia; </w:t>
      </w:r>
    </w:p>
    <w:p w:rsidR="00A95CCD" w:rsidRDefault="00B6332E">
      <w:pPr>
        <w:pStyle w:val="normal"/>
        <w:widowControl w:val="0"/>
        <w:pBdr>
          <w:top w:val="nil"/>
          <w:left w:val="nil"/>
          <w:bottom w:val="nil"/>
          <w:right w:val="nil"/>
          <w:between w:val="nil"/>
        </w:pBdr>
        <w:spacing w:before="246" w:line="229" w:lineRule="auto"/>
        <w:ind w:left="613" w:right="109" w:hanging="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invita nuovamente la Commissione a condividere con il Parlamento un'analisi  dettagliata dei rischi legati all'uso improprio, da parte dei nostri avversari, di tecnologie  quali i semiconduttori, il calcolo quantistico, le </w:t>
      </w:r>
      <w:proofErr w:type="spellStart"/>
      <w:r>
        <w:rPr>
          <w:rFonts w:ascii="Times New Roman" w:eastAsia="Times New Roman" w:hAnsi="Times New Roman" w:cs="Times New Roman"/>
          <w:color w:val="000000"/>
          <w:sz w:val="24"/>
          <w:szCs w:val="24"/>
        </w:rPr>
        <w:t>blockchain</w:t>
      </w:r>
      <w:proofErr w:type="spellEnd"/>
      <w:r>
        <w:rPr>
          <w:rFonts w:ascii="Times New Roman" w:eastAsia="Times New Roman" w:hAnsi="Times New Roman" w:cs="Times New Roman"/>
          <w:color w:val="000000"/>
          <w:sz w:val="24"/>
          <w:szCs w:val="24"/>
        </w:rPr>
        <w:t xml:space="preserve">, lo spazio, l'intelligenza  artificiale e le biotecnologie, compresa la genomica, nonché l'elenco di azioni proposte  dall'UE in questi settori, conformemente alla strategia europea per la sicurezza  economica; esprime preoccupazione per il ruolo svolto da imprese militari cinesi nella </w:t>
      </w:r>
    </w:p>
    <w:p w:rsidR="00A95CCD" w:rsidRDefault="00B6332E">
      <w:pPr>
        <w:pStyle w:val="normal"/>
        <w:widowControl w:val="0"/>
        <w:pBdr>
          <w:top w:val="nil"/>
          <w:left w:val="nil"/>
          <w:bottom w:val="nil"/>
          <w:right w:val="nil"/>
          <w:between w:val="nil"/>
        </w:pBdr>
        <w:spacing w:line="240" w:lineRule="auto"/>
        <w:ind w:left="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raccolta di dati genetici di cittadini dell'UE; </w:t>
      </w:r>
    </w:p>
    <w:p w:rsidR="00A95CCD" w:rsidRDefault="00B6332E">
      <w:pPr>
        <w:pStyle w:val="normal"/>
        <w:widowControl w:val="0"/>
        <w:pBdr>
          <w:top w:val="nil"/>
          <w:left w:val="nil"/>
          <w:bottom w:val="nil"/>
          <w:right w:val="nil"/>
          <w:between w:val="nil"/>
        </w:pBdr>
        <w:spacing w:before="235" w:line="229" w:lineRule="auto"/>
        <w:ind w:left="604" w:right="72"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57. invita la Commissione a proporre un pacchetto dell'UE sui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che sia incentrato su  </w:t>
      </w:r>
      <w:r>
        <w:rPr>
          <w:rFonts w:ascii="Times New Roman" w:eastAsia="Times New Roman" w:hAnsi="Times New Roman" w:cs="Times New Roman"/>
          <w:color w:val="000000"/>
          <w:sz w:val="24"/>
          <w:szCs w:val="24"/>
        </w:rPr>
        <w:lastRenderedPageBreak/>
        <w:t xml:space="preserve">sistemi di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e sistemi </w:t>
      </w:r>
      <w:proofErr w:type="spellStart"/>
      <w:r>
        <w:rPr>
          <w:rFonts w:ascii="Times New Roman" w:eastAsia="Times New Roman" w:hAnsi="Times New Roman" w:cs="Times New Roman"/>
          <w:color w:val="000000"/>
          <w:sz w:val="24"/>
          <w:szCs w:val="24"/>
        </w:rPr>
        <w:t>anti-droni</w:t>
      </w:r>
      <w:proofErr w:type="spellEnd"/>
      <w:r>
        <w:rPr>
          <w:rFonts w:ascii="Times New Roman" w:eastAsia="Times New Roman" w:hAnsi="Times New Roman" w:cs="Times New Roman"/>
          <w:color w:val="000000"/>
          <w:sz w:val="24"/>
          <w:szCs w:val="24"/>
        </w:rPr>
        <w:t xml:space="preserve">, e sulle relative capacità ausiliarie, che preveda  piani e fondi per favorire la ricerca e lo sviluppo, che tragga insegnamenti  dall'esperienza ucraina e sia aperto alla partecipazione di imprese ucraine altamente  innovative, così come un programma industriale dedicato allo sviluppo, alla produzione  e all'acquisizione congiunti di sistemi di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e sistemi </w:t>
      </w:r>
      <w:proofErr w:type="spellStart"/>
      <w:r>
        <w:rPr>
          <w:rFonts w:ascii="Times New Roman" w:eastAsia="Times New Roman" w:hAnsi="Times New Roman" w:cs="Times New Roman"/>
          <w:color w:val="000000"/>
          <w:sz w:val="24"/>
          <w:szCs w:val="24"/>
        </w:rPr>
        <w:t>anti-droni</w:t>
      </w:r>
      <w:proofErr w:type="spellEnd"/>
      <w:r>
        <w:rPr>
          <w:rFonts w:ascii="Times New Roman" w:eastAsia="Times New Roman" w:hAnsi="Times New Roman" w:cs="Times New Roman"/>
          <w:color w:val="000000"/>
          <w:sz w:val="24"/>
          <w:szCs w:val="24"/>
        </w:rPr>
        <w:t xml:space="preserve">, insieme a un  regolamento sull'uso dei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in contesti civili e militari; </w:t>
      </w:r>
    </w:p>
    <w:p w:rsidR="00A95CCD" w:rsidRDefault="00B6332E">
      <w:pPr>
        <w:pStyle w:val="normal"/>
        <w:widowControl w:val="0"/>
        <w:pBdr>
          <w:top w:val="nil"/>
          <w:left w:val="nil"/>
          <w:bottom w:val="nil"/>
          <w:right w:val="nil"/>
          <w:between w:val="nil"/>
        </w:pBdr>
        <w:spacing w:before="246" w:line="240" w:lineRule="auto"/>
        <w:ind w:left="3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Le PMI del settore della difesa </w:t>
      </w:r>
    </w:p>
    <w:p w:rsidR="00A95CCD" w:rsidRDefault="00B6332E">
      <w:pPr>
        <w:pStyle w:val="normal"/>
        <w:widowControl w:val="0"/>
        <w:pBdr>
          <w:top w:val="nil"/>
          <w:left w:val="nil"/>
          <w:bottom w:val="nil"/>
          <w:right w:val="nil"/>
          <w:between w:val="nil"/>
        </w:pBdr>
        <w:spacing w:before="235" w:line="229" w:lineRule="auto"/>
        <w:ind w:left="604" w:right="57"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ribadisce che le PMI di tutta l'Unione attive nel settore della difesa sono il fulcro  dell'industria e delle catene di approvvigionamento europee nell'ambito della difesa e  sono fondamentali per l'innovazione in tale ambito, e sottolinea la necessità di fornire  sostegno alle PMI e in particolare alle start-up del settore della difesa e del duplice uso;  sottolinea che l'EDIS e l'EDIP devono garantire condizioni di parità a tutti gli attori  dell'industria della difesa in tutta l'Unione e promuovere la cooperazione tra le imprese  più grandi e quelle più piccole di tutti gli Stati membri, facendo in modo che il settore  non sia dominato da grandi imprese di un numero limitato di Stati membri; incoraggia  gli Stati membri a offrire alle PMI attive nel settore europeo della difesa speciali  opportunità di partecipazione alle gare d'appalto attraverso misure quali la creazione di  un elenco di imprese previamente approvato per facilitare un processo di assegnazione  più rapido, l'introduzione nel processo di appalto di imprese di private </w:t>
      </w:r>
      <w:proofErr w:type="spellStart"/>
      <w:r>
        <w:rPr>
          <w:rFonts w:ascii="Times New Roman" w:eastAsia="Times New Roman" w:hAnsi="Times New Roman" w:cs="Times New Roman"/>
          <w:color w:val="000000"/>
          <w:sz w:val="24"/>
          <w:szCs w:val="24"/>
        </w:rPr>
        <w:t>equity</w:t>
      </w:r>
      <w:proofErr w:type="spellEnd"/>
      <w:r>
        <w:rPr>
          <w:rFonts w:ascii="Times New Roman" w:eastAsia="Times New Roman" w:hAnsi="Times New Roman" w:cs="Times New Roman"/>
          <w:color w:val="000000"/>
          <w:sz w:val="24"/>
          <w:szCs w:val="24"/>
        </w:rPr>
        <w:t xml:space="preserve"> che  investono nelle PMI, il sostegno alla crescita delle PMI attraverso l'incubazione e  l'investimento di capitali, la semplificazione della presentazione di offerte per i contratti  e l'attuazione di misure interne intese a ridurre il tempo necessario per elaborare i  dettagli dei contratti; </w:t>
      </w:r>
    </w:p>
    <w:p w:rsidR="00A95CCD" w:rsidRDefault="00B6332E">
      <w:pPr>
        <w:pStyle w:val="normal"/>
        <w:widowControl w:val="0"/>
        <w:pBdr>
          <w:top w:val="nil"/>
          <w:left w:val="nil"/>
          <w:bottom w:val="nil"/>
          <w:right w:val="nil"/>
          <w:between w:val="nil"/>
        </w:pBdr>
        <w:spacing w:before="246" w:line="240" w:lineRule="auto"/>
        <w:ind w:left="3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Mobilità militare </w:t>
      </w:r>
    </w:p>
    <w:p w:rsidR="00A95CCD" w:rsidRDefault="00B6332E">
      <w:pPr>
        <w:pStyle w:val="normal"/>
        <w:widowControl w:val="0"/>
        <w:pBdr>
          <w:top w:val="nil"/>
          <w:left w:val="nil"/>
          <w:bottom w:val="nil"/>
          <w:right w:val="nil"/>
          <w:between w:val="nil"/>
        </w:pBdr>
        <w:spacing w:before="277" w:line="229" w:lineRule="auto"/>
        <w:ind w:left="604" w:right="43" w:hanging="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59. sottolinea l'importanza di sviluppare, mantenere e proteggere le infrastrutture necessarie  a garantire la mobilità militare rapida ed efficiente delle nostre forze armate in tutti gli  Stati membri; pone l'accento sulla necessità di garantire la resilienza delle infrastrutture  critiche che consentono la mobilità militare e la fornitura di servizi essenziali; riconosce  che la logistica militare può contribuire alla deterrenza segnalando lo stato di  preparazione militare complessiva dell'UE; prevede che questi punti si rifletteranno  chiaramente nell'annunciata comunicazione congiunta sulla mobilità militare del giugno  2025; </w:t>
      </w:r>
    </w:p>
    <w:p w:rsidR="00A95CCD" w:rsidRDefault="00B6332E">
      <w:pPr>
        <w:pStyle w:val="normal"/>
        <w:widowControl w:val="0"/>
        <w:pBdr>
          <w:top w:val="nil"/>
          <w:left w:val="nil"/>
          <w:bottom w:val="nil"/>
          <w:right w:val="nil"/>
          <w:between w:val="nil"/>
        </w:pBdr>
        <w:spacing w:before="246" w:line="229" w:lineRule="auto"/>
        <w:ind w:left="604" w:right="193"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60. sottolinea l'urgente necessità di potenziare sensibilmente la mobilità militare e di  investire notevolmente in tale ambito privilegiando gli investimenti, eliminando le  strozzature e sopperendo ai collegamenti mancanti; evidenzia, a tale proposito,  l'importanza di attuare rapidamente progetti e misure normative conformemente al  piano d'azione dell'UE sulla mobilità militare 2.0; sostiene i nuovi investimenti  strategici nelle infrastrutture civili e militari, quali porti, aeroporti e autostrade, che  consentiranno anche un agevole trasferimento di unità e forniture militari, comprese le  forze di reazione rapida, attrezzature pesanti, beni e aiuti umanitari; invita la  Commissione a dare seguito alle raccomandazioni della relazione speciale della Corte  dei conti europea del 2025 sulla mobilità militare e ad attribuire maggiore importanza </w:t>
      </w:r>
    </w:p>
    <w:p w:rsidR="00A95CCD" w:rsidRDefault="00B6332E">
      <w:pPr>
        <w:pStyle w:val="normal"/>
        <w:widowControl w:val="0"/>
        <w:pBdr>
          <w:top w:val="nil"/>
          <w:left w:val="nil"/>
          <w:bottom w:val="nil"/>
          <w:right w:val="nil"/>
          <w:between w:val="nil"/>
        </w:pBdr>
        <w:spacing w:line="240" w:lineRule="auto"/>
        <w:ind w:left="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alla valutazione militare nel processo di selezione dei progetti a duplice uso</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35" w:line="229" w:lineRule="auto"/>
        <w:ind w:left="606" w:right="119"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61. invita la Commissione a elaborare un approccio integrato alla mobilità e alla logistica  militari che permetta di rispettare l'impegno del Consiglio di rimuovere tutti i restanti  ostacoli entro il 2026 e che coincida con investimenti molto più elevati dell'UE negli  aspetti fondamentali della mobilità militare; chiede inoltre che il prossimo QFP includa  adeguati finanziamenti dell'UE per i progetti di mobilità militare in corso e per quelli  </w:t>
      </w:r>
      <w:r>
        <w:rPr>
          <w:rFonts w:ascii="Times New Roman" w:eastAsia="Times New Roman" w:hAnsi="Times New Roman" w:cs="Times New Roman"/>
          <w:color w:val="000000"/>
          <w:sz w:val="24"/>
          <w:szCs w:val="24"/>
        </w:rPr>
        <w:lastRenderedPageBreak/>
        <w:t xml:space="preserve">che saranno necessari; invita gli Stati membri ad adoperarsi ulteriormente per  semplificare e armonizzare le procedure di mobilità militare e accorciare i tempi di  concessione delle autorizzazioni, onde consentire agli Stati membri di intervenire più  rapidamente e di fornire risposte più efficaci, in linea con le rispettive esigenze e  responsabilità in materia di difesa, sia nel contesto delle missioni e delle operazioni  PSDC che nell'ambito delle attività nazionali e multinazionali; incoraggia gli Stati  membri a utilizzare l'accordo PESCO sulla mobilità militare concluso con i paesi terzi  come modello per la partecipazione dei paesi partner, ponendo l'accento  sull'adeguamento dei progetti PESCO alle esigenze delle missioni PSDC; </w:t>
      </w:r>
    </w:p>
    <w:p w:rsidR="00A95CCD" w:rsidRDefault="00B6332E">
      <w:pPr>
        <w:pStyle w:val="normal"/>
        <w:widowControl w:val="0"/>
        <w:pBdr>
          <w:top w:val="nil"/>
          <w:left w:val="nil"/>
          <w:bottom w:val="nil"/>
          <w:right w:val="nil"/>
          <w:between w:val="nil"/>
        </w:pBdr>
        <w:spacing w:before="246" w:line="229" w:lineRule="auto"/>
        <w:ind w:left="48"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62. apprezza gli sforzi compiuti dai paesi confinanti con l'Ucraina per fornire assistenza  militare all'Ucraina in modo sicuro ed efficiente; osserva che l'esperienza e il potenziale  di mobilità militare della Polonia, compreso il progettato porto di comunicazione  centrale (CPK), sono essenziali per la sicurezza dell'intero versante orientale; </w:t>
      </w:r>
    </w:p>
    <w:p w:rsidR="00A95CCD" w:rsidRDefault="00B6332E">
      <w:pPr>
        <w:pStyle w:val="normal"/>
        <w:widowControl w:val="0"/>
        <w:pBdr>
          <w:top w:val="nil"/>
          <w:left w:val="nil"/>
          <w:bottom w:val="nil"/>
          <w:right w:val="nil"/>
          <w:between w:val="nil"/>
        </w:pBdr>
        <w:spacing w:before="246" w:line="229" w:lineRule="auto"/>
        <w:ind w:left="42" w:right="530" w:firstLine="18"/>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Una bussola strategica aggiornata: promuovere una visione strategica e una coerenza  comuni e migliorare il processo decisionale dell'UE in materia di difesa all'interno del  quadro istituzionale dell'UE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Bussola strategica  </w:t>
      </w:r>
    </w:p>
    <w:p w:rsidR="00A95CCD" w:rsidRDefault="00B6332E">
      <w:pPr>
        <w:pStyle w:val="normal"/>
        <w:widowControl w:val="0"/>
        <w:pBdr>
          <w:top w:val="nil"/>
          <w:left w:val="nil"/>
          <w:bottom w:val="nil"/>
          <w:right w:val="nil"/>
          <w:between w:val="nil"/>
        </w:pBdr>
        <w:spacing w:before="235" w:line="229" w:lineRule="auto"/>
        <w:ind w:left="604" w:right="56"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sottolinea che, da quando gli Stati membri hanno adottato la bussola strategica nel  marzo 2022, gli sviluppi e le minacce geopolitici hanno continuato a evolversi  rapidamente; chiede, pertanto, una revisione della valutazione congiunta globale delle  minacce prevista dalla bussola strategica, in base alla quale stabilire le priorità d'azione  dell'UE; ritiene che tale esercizio di revisione debba servire a definire una visione  comune sulle carenze di capacità a livello europeo, che dovrebbero essere colmate  mediante programmi, fondi, progetti e strumenti bilaterali, multinazionali o europei, e a  stabilire i tempi entro i quali ciò dovrebbe avvenire; invita inoltre la Commissione e la  VP/AR a presentare, ove necessario, misure aggiornate per la bussola strategica a  seguito di detta revisione, che servano da base per la preparazione del Libro bianco sul  futuro della difesa europea; ribadisce che è possibile conseguire gli obiettivi e i  traguardi ambiziosi della bussola strategica solo con un'adeguata volontà e azione  politica degli Stati membri e delle istituzioni dell'UE; sottolinea la necessità di coerenza  e compatibilità tra la bussola strategica e il concetto strategico della NATO; </w:t>
      </w:r>
    </w:p>
    <w:p w:rsidR="00A95CCD" w:rsidRDefault="00B6332E">
      <w:pPr>
        <w:pStyle w:val="normal"/>
        <w:widowControl w:val="0"/>
        <w:pBdr>
          <w:top w:val="nil"/>
          <w:left w:val="nil"/>
          <w:bottom w:val="nil"/>
          <w:right w:val="nil"/>
          <w:between w:val="nil"/>
        </w:pBdr>
        <w:spacing w:before="246" w:line="229" w:lineRule="auto"/>
        <w:ind w:left="48" w:right="10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64. invita la Commissione e il SEAE a garantire che la tabella di marcia sui cambiamenti  climatici e la difesa sia pienamente attuata e migliorata nel contesto dell'aggiornamento  delle misure della bussola strategica; chiede che i termini per la revisione della tabella  di marcia siano riesaminati e, in particolare, che gli obiettivi generali siano riveduti  molto prima del 2030; invita gli Stati membri a mettere a punto strutture nazionali a  </w:t>
      </w:r>
    </w:p>
    <w:p w:rsidR="00A95CCD" w:rsidRDefault="00B6332E">
      <w:pPr>
        <w:pStyle w:val="normal"/>
        <w:widowControl w:val="0"/>
        <w:pBdr>
          <w:top w:val="nil"/>
          <w:left w:val="nil"/>
          <w:bottom w:val="nil"/>
          <w:right w:val="nil"/>
          <w:between w:val="nil"/>
        </w:pBdr>
        <w:spacing w:before="464" w:line="216" w:lineRule="auto"/>
        <w:ind w:left="604" w:right="134"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Relazione speciale 04/2025 della Corte dei conti dal titolo "Mobilità militare nell’UE –  Velocità massima non raggiunta a causa di carenze di progettazione e problemi di  percorso".</w:t>
      </w:r>
    </w:p>
    <w:p w:rsidR="00A95CCD" w:rsidRDefault="00B6332E">
      <w:pPr>
        <w:pStyle w:val="normal"/>
        <w:widowControl w:val="0"/>
        <w:pBdr>
          <w:top w:val="nil"/>
          <w:left w:val="nil"/>
          <w:bottom w:val="nil"/>
          <w:right w:val="nil"/>
          <w:between w:val="nil"/>
        </w:pBdr>
        <w:spacing w:line="229" w:lineRule="auto"/>
        <w:ind w:left="604" w:right="618" w:firstLine="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sostegno dei suddetti obiettivi; sollecita la VP/AR a proporre agli Stati membri un  programma d'azione comprendente le misure prioritarie presentate nella tabella di  marcia che possono essere attuate nel breve termine; </w:t>
      </w:r>
    </w:p>
    <w:p w:rsidR="00A95CCD" w:rsidRDefault="00B6332E">
      <w:pPr>
        <w:pStyle w:val="normal"/>
        <w:widowControl w:val="0"/>
        <w:pBdr>
          <w:top w:val="nil"/>
          <w:left w:val="nil"/>
          <w:bottom w:val="nil"/>
          <w:right w:val="nil"/>
          <w:between w:val="nil"/>
        </w:pBdr>
        <w:spacing w:before="246" w:line="229" w:lineRule="auto"/>
        <w:ind w:left="42" w:right="47" w:firstLine="12"/>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Governance</w:t>
      </w:r>
      <w:proofErr w:type="spellEnd"/>
      <w:r>
        <w:rPr>
          <w:rFonts w:ascii="Times New Roman" w:eastAsia="Times New Roman" w:hAnsi="Times New Roman" w:cs="Times New Roman"/>
          <w:i/>
          <w:color w:val="000000"/>
          <w:sz w:val="24"/>
          <w:szCs w:val="24"/>
        </w:rPr>
        <w:t xml:space="preserve"> della difesa: consolidare il quadro istituzionale e il processo decisionale dell'UE  nei settori della difesa e della sicurezza </w:t>
      </w:r>
    </w:p>
    <w:p w:rsidR="00A95CCD" w:rsidRDefault="00B6332E">
      <w:pPr>
        <w:pStyle w:val="normal"/>
        <w:widowControl w:val="0"/>
        <w:pBdr>
          <w:top w:val="nil"/>
          <w:left w:val="nil"/>
          <w:bottom w:val="nil"/>
          <w:right w:val="nil"/>
          <w:between w:val="nil"/>
        </w:pBdr>
        <w:spacing w:before="366" w:line="229" w:lineRule="auto"/>
        <w:ind w:left="606" w:right="63"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65. suggerisce che il Consiglio riveda gli assetti istituzionali dei suoi organi decisionali  </w:t>
      </w:r>
      <w:r>
        <w:rPr>
          <w:rFonts w:ascii="Times New Roman" w:eastAsia="Times New Roman" w:hAnsi="Times New Roman" w:cs="Times New Roman"/>
          <w:color w:val="000000"/>
          <w:sz w:val="24"/>
          <w:szCs w:val="24"/>
        </w:rPr>
        <w:lastRenderedPageBreak/>
        <w:t xml:space="preserve">competenti in materia di difesa e sicurezza e prenda in considerazione l'istituzione di un  nuovo organo decisionale permanente composto dai ministri della Difesa degli Stati  membri, senza pregiudicare la ripartizione delle competenze in materia all'interno dei  ministeri nazionali;  </w:t>
      </w:r>
    </w:p>
    <w:p w:rsidR="00A95CCD" w:rsidRDefault="00B6332E">
      <w:pPr>
        <w:pStyle w:val="normal"/>
        <w:widowControl w:val="0"/>
        <w:pBdr>
          <w:top w:val="nil"/>
          <w:left w:val="nil"/>
          <w:bottom w:val="nil"/>
          <w:right w:val="nil"/>
          <w:between w:val="nil"/>
        </w:pBdr>
        <w:spacing w:before="246" w:line="229" w:lineRule="auto"/>
        <w:ind w:left="604" w:right="20"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66. sottolinea che per un'efficace cooperazione a livello dell'UE nel settore della sicurezza e  della difesa, e per risposte rapide e coordinate alle sfide in materia di sicurezza, è  necessaria la coerenza tra le diverse strutture del Consiglio e della Commissione;  evidenzia inoltre la necessità di prevenire le sovrapposizioni, garantire investimenti  pubblici efficienti, affrontare le carenze critiche in materia di capacità e sviluppare  strategie di sicurezza coerenti in relazione ai partner, ai paesi terzi e alle varie regioni  del mondo, sia nei processi di elaborazione delle politiche che nelle iniziative attuali e  future; prende atto della ripartizione poco chiara dei portafogli e della potenziale  sovrapposizione di competenze tra i commissari nel settore della sicurezza e della difesa  a seguito della creazione della carica di commissario per la difesa e lo spazio, e invita  pertanto la Commissione a delineare chiaramente le competenze dei commissari in tale  settore; invita la Commissione a effettuare una revisione interna delle sue varie  strutture, tra cui la direzione generale per l'Industria della difesa e lo spazio (DG  DEFIS) e l'Agenzia europea per la difesa, e dei loro mandati, al fine di garantire la  complementarità e un'amministrazione efficiente delle iniziative attuali e future  nell'ambito della PSDC; invita gli Stati membri e la Commissione a destinare ulteriori  risorse finanziarie e umane al SEAE affinché quest'ultimo possa svolgere efficacemente  il proprio ruolo di servizio diplomatico dell'UE alla luce del contesto geopolitico  altamente competitivo e dell'aumento del carico di lavoro che negli ultimi anni grava  sulle sue capacità limitate; </w:t>
      </w:r>
    </w:p>
    <w:p w:rsidR="00A95CCD" w:rsidRDefault="00B6332E">
      <w:pPr>
        <w:pStyle w:val="normal"/>
        <w:widowControl w:val="0"/>
        <w:pBdr>
          <w:top w:val="nil"/>
          <w:left w:val="nil"/>
          <w:bottom w:val="nil"/>
          <w:right w:val="nil"/>
          <w:between w:val="nil"/>
        </w:pBdr>
        <w:spacing w:before="246" w:line="229" w:lineRule="auto"/>
        <w:ind w:left="604" w:right="3"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 ribadisce che</w:t>
      </w:r>
      <w:r>
        <w:rPr>
          <w:rFonts w:ascii="Times New Roman" w:eastAsia="Times New Roman" w:hAnsi="Times New Roman" w:cs="Times New Roman"/>
          <w:color w:val="000000"/>
          <w:sz w:val="24"/>
          <w:szCs w:val="24"/>
          <w:highlight w:val="white"/>
        </w:rPr>
        <w:t>, per diventare un attore geopolitico credibile, l'UE dovrebbe riformare il</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highlight w:val="white"/>
        </w:rPr>
        <w:t xml:space="preserve">rocesso decisionale in materia di PESC/PSDC </w:t>
      </w:r>
      <w:r>
        <w:rPr>
          <w:rFonts w:ascii="Times New Roman" w:eastAsia="Times New Roman" w:hAnsi="Times New Roman" w:cs="Times New Roman"/>
          <w:color w:val="000000"/>
          <w:sz w:val="24"/>
          <w:szCs w:val="24"/>
        </w:rPr>
        <w:t>e sottolinea, a tale proposito, che  dovrebbero essere prese in considerazione riflessioni istituzionali sulla revoca del  requisito dell'unanimità in tale processo; ricorda che il trattato sull'Unione europea  prevede già diverse forme istituzionali di cooperazione nel settore della p</w:t>
      </w:r>
      <w:r>
        <w:rPr>
          <w:rFonts w:ascii="Times New Roman" w:eastAsia="Times New Roman" w:hAnsi="Times New Roman" w:cs="Times New Roman"/>
          <w:color w:val="000000"/>
          <w:sz w:val="24"/>
          <w:szCs w:val="24"/>
          <w:highlight w:val="white"/>
        </w:rPr>
        <w:t xml:space="preserve">olitica estera,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di sicurezza e</w:t>
      </w:r>
      <w:r>
        <w:rPr>
          <w:rFonts w:ascii="Times New Roman" w:eastAsia="Times New Roman" w:hAnsi="Times New Roman" w:cs="Times New Roman"/>
          <w:color w:val="000000"/>
          <w:sz w:val="24"/>
          <w:szCs w:val="24"/>
        </w:rPr>
        <w:t xml:space="preserve"> di difesa, e osserva con </w:t>
      </w:r>
      <w:r>
        <w:rPr>
          <w:rFonts w:ascii="Times New Roman" w:eastAsia="Times New Roman" w:hAnsi="Times New Roman" w:cs="Times New Roman"/>
          <w:color w:val="000000"/>
          <w:sz w:val="24"/>
          <w:szCs w:val="24"/>
          <w:highlight w:val="white"/>
        </w:rPr>
        <w:t>rammarico che la possibilità di un'azione rapida 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questo ambito, come previsto dalle "clausole passerella" del TUE, è stata sfruttata in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misura molto limitata</w:t>
      </w:r>
      <w:r>
        <w:rPr>
          <w:rFonts w:ascii="Times New Roman" w:eastAsia="Times New Roman" w:hAnsi="Times New Roman" w:cs="Times New Roman"/>
          <w:color w:val="000000"/>
          <w:sz w:val="24"/>
          <w:szCs w:val="24"/>
        </w:rPr>
        <w:t xml:space="preserve">; invita il Consiglio a prendere in considerazione tutte le  possibilità per rafforzare e approfondire il suo processo decisionale in materia di  PESC/PSDC al fine di sfruttare il potenziale inutilizzato dei trattati; </w:t>
      </w:r>
      <w:r>
        <w:rPr>
          <w:rFonts w:ascii="Times New Roman" w:eastAsia="Times New Roman" w:hAnsi="Times New Roman" w:cs="Times New Roman"/>
          <w:color w:val="000000"/>
          <w:sz w:val="24"/>
          <w:szCs w:val="24"/>
          <w:highlight w:val="white"/>
        </w:rPr>
        <w:t xml:space="preserve">chiede nuovamente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al Consiglio di passare gradualmente al voto a maggioranza qualificata per le decisioni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sulla PESC e sulla PSDC, almeno negli ambiti privi di implicazioni militari; </w:t>
      </w:r>
      <w:r>
        <w:rPr>
          <w:rFonts w:ascii="Times New Roman" w:eastAsia="Times New Roman" w:hAnsi="Times New Roman" w:cs="Times New Roman"/>
          <w:color w:val="000000"/>
          <w:sz w:val="24"/>
          <w:szCs w:val="24"/>
        </w:rPr>
        <w:t xml:space="preserve">suggerisce  inoltre al Consiglio di perseguire il pieno utilizzo delle "clausole passerella" e  dell'ambito di applicazione degli articoli che rafforzano la solidarietà e l'assistenza  reciproca dell'UE in caso di crisi;  </w:t>
      </w:r>
    </w:p>
    <w:p w:rsidR="00A95CCD" w:rsidRDefault="00B6332E">
      <w:pPr>
        <w:pStyle w:val="normal"/>
        <w:widowControl w:val="0"/>
        <w:pBdr>
          <w:top w:val="nil"/>
          <w:left w:val="nil"/>
          <w:bottom w:val="nil"/>
          <w:right w:val="nil"/>
          <w:between w:val="nil"/>
        </w:pBdr>
        <w:spacing w:before="246" w:line="240" w:lineRule="auto"/>
        <w:ind w:left="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68. ribadisce con forza il proprio invito a rafforzare la capacità militare di pianificazione e </w:t>
      </w:r>
    </w:p>
    <w:p w:rsidR="00A95CCD" w:rsidRDefault="00B6332E">
      <w:pPr>
        <w:pStyle w:val="normal"/>
        <w:widowControl w:val="0"/>
        <w:pBdr>
          <w:top w:val="nil"/>
          <w:left w:val="nil"/>
          <w:bottom w:val="nil"/>
          <w:right w:val="nil"/>
          <w:between w:val="nil"/>
        </w:pBdr>
        <w:spacing w:line="229" w:lineRule="auto"/>
        <w:ind w:left="605" w:right="121"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condotta (MPCC) dell'UE e a renderla pienamente operativa, anche attraverso la messa  a disposizione di locali adeguati, personale, comando e controllo rafforzati e sistemi di  comunicazione e informazione efficaci per tutte le missioni e le operazioni PSDC;  sottolinea la necessità di ottenere risultati tempestivi in relazione all'MPCC, data  l'ambizione della bussola strategica secondo cui l'MPCC dovrebbe fungere da struttura  di comando e controllo privilegiata dell'UE, capace di pianificare e condurre tutte le  missioni militari non esecutive e due operazioni esecutive su piccola scala o una  operazione esecutiva su media scala, nonché esercitazioni reali; sottolinea la necessità  che l'MPCC agevoli le sinergie tra strumenti civili e militari, e </w:t>
      </w:r>
      <w:r>
        <w:rPr>
          <w:rFonts w:ascii="Times New Roman" w:eastAsia="Times New Roman" w:hAnsi="Times New Roman" w:cs="Times New Roman"/>
          <w:color w:val="1E1E1F"/>
          <w:sz w:val="24"/>
          <w:szCs w:val="24"/>
        </w:rPr>
        <w:t xml:space="preserve">chiede che nel lungo  termine vengano istituiti a livello europeo quartieri generali civili e militari congiunti  che uniscano strumenti civili e militari al fine di sfruttare appieno l'approccio integrato  </w:t>
      </w:r>
      <w:r>
        <w:rPr>
          <w:rFonts w:ascii="Times New Roman" w:eastAsia="Times New Roman" w:hAnsi="Times New Roman" w:cs="Times New Roman"/>
          <w:color w:val="1E1E1F"/>
          <w:sz w:val="24"/>
          <w:szCs w:val="24"/>
        </w:rPr>
        <w:lastRenderedPageBreak/>
        <w:t xml:space="preserve">dell'UE alla gestione delle crisi, </w:t>
      </w:r>
      <w:r>
        <w:rPr>
          <w:rFonts w:ascii="Times New Roman" w:eastAsia="Times New Roman" w:hAnsi="Times New Roman" w:cs="Times New Roman"/>
          <w:color w:val="000000"/>
          <w:sz w:val="24"/>
          <w:szCs w:val="24"/>
        </w:rPr>
        <w:t xml:space="preserve">dalla pianificazione strategica all'esecuzione effettiva  della missione o dell'operazione; ritiene che la capacità civile di pianificazione e  condotta (CPCC) dell'UE dovrebbe valutare come proteggere da molteplici minacce  ibride le forze schierate e come condurre operazioni avanzate a un livello di rischio  molto più elevato rispetto a quello attuale; invita la Commissione, il SEAE, l'MPCC, la  CPCC, il comitato militare dell'UE e lo Stato maggiore dell'UE a promuovere una  nuova cultura della comprensione tra i partner civili e militari, a sviluppare la  cooperazione interforze e a garantire il trasferimento delle migliori pratiche in materia  di pianificazione delle missioni e dei concetti associati, anche mediante lo sviluppo di  un modello di elaborazione e condivisione delle migliori pratiche;  </w:t>
      </w:r>
    </w:p>
    <w:p w:rsidR="00A95CCD" w:rsidRDefault="00B6332E">
      <w:pPr>
        <w:pStyle w:val="normal"/>
        <w:widowControl w:val="0"/>
        <w:pBdr>
          <w:top w:val="nil"/>
          <w:left w:val="nil"/>
          <w:bottom w:val="nil"/>
          <w:right w:val="nil"/>
          <w:between w:val="nil"/>
        </w:pBdr>
        <w:spacing w:before="246" w:line="229" w:lineRule="auto"/>
        <w:ind w:left="48" w:right="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69. ribadisce di essere pienamente favorevole a che la capacità di dispiegamento rapido  raggiunga la piena capacità operativa al più tardi nella prima metà del 2025, con almeno  5 000 soldati disponibili per compiti di soccorso ed evacuazione, operazioni iniziali di  ingresso e stabilizzazione o rafforzamento temporaneo delle missioni; osserva che </w:t>
      </w:r>
      <w:r>
        <w:rPr>
          <w:rFonts w:ascii="Times New Roman" w:eastAsia="Times New Roman" w:hAnsi="Times New Roman" w:cs="Times New Roman"/>
          <w:color w:val="000000"/>
          <w:sz w:val="24"/>
          <w:szCs w:val="24"/>
          <w:highlight w:val="white"/>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gruppi tattici dell'UE, che </w:t>
      </w:r>
      <w:r>
        <w:rPr>
          <w:rFonts w:ascii="Times New Roman" w:eastAsia="Times New Roman" w:hAnsi="Times New Roman" w:cs="Times New Roman"/>
          <w:color w:val="000000"/>
          <w:sz w:val="24"/>
          <w:szCs w:val="24"/>
        </w:rPr>
        <w:t xml:space="preserve">non sono mai stati dispiegati nonostante siano operativi dal  2007, </w:t>
      </w:r>
      <w:r>
        <w:rPr>
          <w:rFonts w:ascii="Times New Roman" w:eastAsia="Times New Roman" w:hAnsi="Times New Roman" w:cs="Times New Roman"/>
          <w:color w:val="000000"/>
          <w:sz w:val="24"/>
          <w:szCs w:val="24"/>
          <w:highlight w:val="white"/>
        </w:rPr>
        <w:t xml:space="preserve">saranno parte integrante del più ampio quadro di capacità di dispiegamento rapido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dell'UE;</w:t>
      </w:r>
      <w:r>
        <w:rPr>
          <w:rFonts w:ascii="Times New Roman" w:eastAsia="Times New Roman" w:hAnsi="Times New Roman" w:cs="Times New Roman"/>
          <w:color w:val="000000"/>
          <w:sz w:val="24"/>
          <w:szCs w:val="24"/>
        </w:rPr>
        <w:t xml:space="preserve"> accoglie con favore la pianificazione e la realizzazione di esercitazioni reali nel  quadro della capacità di dispiegamento rapido e invita a proseguire tali iniziative; </w:t>
      </w:r>
    </w:p>
    <w:p w:rsidR="00A95CCD" w:rsidRDefault="00B6332E">
      <w:pPr>
        <w:pStyle w:val="normal"/>
        <w:widowControl w:val="0"/>
        <w:pBdr>
          <w:top w:val="nil"/>
          <w:left w:val="nil"/>
          <w:bottom w:val="nil"/>
          <w:right w:val="nil"/>
          <w:between w:val="nil"/>
        </w:pBdr>
        <w:spacing w:before="246" w:line="229" w:lineRule="auto"/>
        <w:ind w:left="604" w:right="3" w:hanging="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70. ritiene che la capacità di dispiegamento rapido sia un elemento fondamentale per  raggiungere il livello di ambizione dell'UE e ritiene che dovrebbero esserle  gradualmente assegnate truppe e forze supplementari, in linea con l'obiettivo primario di  Helsinki del 1999; ritiene che sarebbe sensato utilizzare il processo del Libro bianco per  avviare una discussione sulla creazione di ulteriori unità militari multinazionali  permanenti dell'UE che potrebbero svolgere compiti complementari a quelli della  capacità di dispiegamento rapido; sottolinea la necessità di collaborare ulteriormente  con la NATO per istituire la capacità di dispiegamento rapido, in conformità con il  principio della riserva unica di forze; </w:t>
      </w:r>
    </w:p>
    <w:p w:rsidR="00A95CCD" w:rsidRDefault="00B6332E">
      <w:pPr>
        <w:pStyle w:val="normal"/>
        <w:widowControl w:val="0"/>
        <w:pBdr>
          <w:top w:val="nil"/>
          <w:left w:val="nil"/>
          <w:bottom w:val="nil"/>
          <w:right w:val="nil"/>
          <w:between w:val="nil"/>
        </w:pBdr>
        <w:spacing w:before="246" w:line="229" w:lineRule="auto"/>
        <w:ind w:left="607" w:right="97" w:hanging="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71. invita nuovamente gli Stati membri a tenere conto degli aspetti pratici dell'attuazione  dell'articolo 44 TUE in occasione dell'entrata in funzione della capacità di  dispiegamento rapido e in altre missioni PSDC pertinenti, onde consentire a un gruppo  di Stati membri che lo desidera, e che ne è capace, di pianificare e condurre una  missione o un'operazione nel quadro dell'UE, agevolando in tal modo la rapida  attivazione della capacità di dispiegamento rapido; invita gli Stati membri a impegnarsi  a ridurre considerevolmente e in tempi rapidi le gravi lacune in termini di facilitatori  strategici, in particolare quelli legati alla capacità di dispiegamento rapido, come il  trasporto aereo strategico, i sistemi di comunicazione e informazione sicuri, la  strumentazione medica, le capacità di </w:t>
      </w:r>
      <w:proofErr w:type="spellStart"/>
      <w:r>
        <w:rPr>
          <w:rFonts w:ascii="Times New Roman" w:eastAsia="Times New Roman" w:hAnsi="Times New Roman" w:cs="Times New Roman"/>
          <w:color w:val="000000"/>
          <w:sz w:val="24"/>
          <w:szCs w:val="24"/>
        </w:rPr>
        <w:t>ciberdifesa</w:t>
      </w:r>
      <w:proofErr w:type="spellEnd"/>
      <w:r>
        <w:rPr>
          <w:rFonts w:ascii="Times New Roman" w:eastAsia="Times New Roman" w:hAnsi="Times New Roman" w:cs="Times New Roman"/>
          <w:color w:val="000000"/>
          <w:sz w:val="24"/>
          <w:szCs w:val="24"/>
        </w:rPr>
        <w:t xml:space="preserve">, l'intelligence e la ricognizione; invita  il commissario per la difesa e lo spazio a valutare la possibilità di includere, nei suoi </w:t>
      </w:r>
    </w:p>
    <w:p w:rsidR="00A95CCD" w:rsidRDefault="00B6332E">
      <w:pPr>
        <w:pStyle w:val="normal"/>
        <w:widowControl w:val="0"/>
        <w:pBdr>
          <w:top w:val="nil"/>
          <w:left w:val="nil"/>
          <w:bottom w:val="nil"/>
          <w:right w:val="nil"/>
          <w:between w:val="nil"/>
        </w:pBdr>
        <w:spacing w:line="229" w:lineRule="auto"/>
        <w:ind w:left="613" w:right="140" w:hanging="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progetti di difesa europei di interesse comune, iniziative volte a fornire i necessari  facilitatori strategici che agevolerebbero le missioni e le operazioni PSDC e la capacità  di dispiegamento rapido; </w:t>
      </w:r>
    </w:p>
    <w:p w:rsidR="00A95CCD" w:rsidRDefault="00B6332E">
      <w:pPr>
        <w:pStyle w:val="normal"/>
        <w:widowControl w:val="0"/>
        <w:pBdr>
          <w:top w:val="nil"/>
          <w:left w:val="nil"/>
          <w:bottom w:val="nil"/>
          <w:right w:val="nil"/>
          <w:between w:val="nil"/>
        </w:pBdr>
        <w:spacing w:before="246" w:line="240" w:lineRule="auto"/>
        <w:ind w:left="24"/>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Aumentare le risorse destinate alla politica di sicurezza e di difesa comune dell'UE </w:t>
      </w:r>
    </w:p>
    <w:p w:rsidR="00A95CCD" w:rsidRDefault="00B6332E">
      <w:pPr>
        <w:pStyle w:val="normal"/>
        <w:widowControl w:val="0"/>
        <w:pBdr>
          <w:top w:val="nil"/>
          <w:left w:val="nil"/>
          <w:bottom w:val="nil"/>
          <w:right w:val="nil"/>
          <w:between w:val="nil"/>
        </w:pBdr>
        <w:spacing w:before="235" w:line="229" w:lineRule="auto"/>
        <w:ind w:left="606" w:right="114"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72. insiste sul fatto che i bisogni urgenti non possono attendere il prossimo QFP; ribadisce  la necessità di esplorare senza indugio soluzioni innovative per reperire finanziamenti  aggiuntivi, come investire nel settore della difesa, facilitare e accelerare la  </w:t>
      </w:r>
      <w:proofErr w:type="spellStart"/>
      <w:r>
        <w:rPr>
          <w:rFonts w:ascii="Times New Roman" w:eastAsia="Times New Roman" w:hAnsi="Times New Roman" w:cs="Times New Roman"/>
          <w:color w:val="000000"/>
          <w:sz w:val="24"/>
          <w:szCs w:val="24"/>
        </w:rPr>
        <w:t>riassegnazione</w:t>
      </w:r>
      <w:proofErr w:type="spellEnd"/>
      <w:r>
        <w:rPr>
          <w:rFonts w:ascii="Times New Roman" w:eastAsia="Times New Roman" w:hAnsi="Times New Roman" w:cs="Times New Roman"/>
          <w:color w:val="000000"/>
          <w:sz w:val="24"/>
          <w:szCs w:val="24"/>
        </w:rPr>
        <w:t xml:space="preserve"> dei fondi tra diversi progetti e valutare la possibilità di adattare i criteri  di finanziamento dell'UE per dare nuovo rilievo ai criteri di sicurezza nell'assegnazione  della spesa; </w:t>
      </w:r>
    </w:p>
    <w:p w:rsidR="00A95CCD" w:rsidRDefault="00B6332E">
      <w:pPr>
        <w:pStyle w:val="normal"/>
        <w:widowControl w:val="0"/>
        <w:pBdr>
          <w:top w:val="nil"/>
          <w:left w:val="nil"/>
          <w:bottom w:val="nil"/>
          <w:right w:val="nil"/>
          <w:between w:val="nil"/>
        </w:pBdr>
        <w:spacing w:before="246" w:line="229" w:lineRule="auto"/>
        <w:ind w:left="604" w:right="62" w:hanging="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73. si rallegra dell'aumento dei bilanci e degli investimenti nella difesa da parte degli Stati  membri e dell'aumento, seppur modesto, del bilancio dell'UE destinato alla PSDC nel  2024; è fermamente convinto che, alla luce delle minacce per la sicurezza senza  precedenti, tutti gli Stati membri dell'UE debbano raggiungere con urgenza un livello di  spesa per la difesa, in percentuale del loro PIL, notevolmente superiore all'attuale  obiettivo della NATO del 2 %; riconosce che 23 dei 32 alleati della NATO, tra cui 16  paesi membri sia dell'UE che della NATO, avrebbero dovuto raggiungere l'obiettivo di  spesa per la difesa fissato dalla NATO pari al 2 % del loro PIL entro la fine del 2024;  sottolinea che tale numero è aumentato di sei volte rispetto al 2014, anno in cui è stato  fissato l'obiettivo di spesa; osserva che, in virtù degli attuali sconvolgimenti geopolitici  e della guerra di aggressione della Russia contro l'Ucraina, l'attuale bilancio dell'UE per  la sicurezza e la difesa non è all'altezza delle sfide da affrontare nel breve e lungo  termine; raccomanda che gli Stati membri aumentino ulteriormente gli investimenti nel  settore della difesa, in particolare per l'approvvigionamento congiunto delle capacità di  difesa, alla luce del fabbisogno stimato di 500 miliardi di EUR di investimenti nel  settore della difesa entro il 2035 e sulla base dell'analisi continua delle esigenze e delle  carenze in termini di capacità, e sostiene pienamente gli obiettivi fissati a tale riguardo  nell'ambito dell'EDIS; </w:t>
      </w:r>
    </w:p>
    <w:p w:rsidR="00A95CCD" w:rsidRDefault="00B6332E">
      <w:pPr>
        <w:pStyle w:val="normal"/>
        <w:widowControl w:val="0"/>
        <w:pBdr>
          <w:top w:val="nil"/>
          <w:left w:val="nil"/>
          <w:bottom w:val="nil"/>
          <w:right w:val="nil"/>
          <w:between w:val="nil"/>
        </w:pBdr>
        <w:spacing w:before="246" w:line="229" w:lineRule="auto"/>
        <w:ind w:left="604" w:right="3" w:hanging="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74. invita la Commissione e gli Stati membri ad avviare una discussione aperta sulla base,  tra le altre cose, delle raccomandazioni presentate da Mario Draghi e </w:t>
      </w:r>
      <w:proofErr w:type="spellStart"/>
      <w:r>
        <w:rPr>
          <w:rFonts w:ascii="Times New Roman" w:eastAsia="Times New Roman" w:hAnsi="Times New Roman" w:cs="Times New Roman"/>
          <w:color w:val="000000"/>
          <w:sz w:val="24"/>
          <w:szCs w:val="24"/>
        </w:rPr>
        <w:t>Sauli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Niinistö</w:t>
      </w:r>
      <w:proofErr w:type="spellEnd"/>
      <w:r>
        <w:rPr>
          <w:rFonts w:ascii="Times New Roman" w:eastAsia="Times New Roman" w:hAnsi="Times New Roman" w:cs="Times New Roman"/>
          <w:color w:val="000000"/>
          <w:sz w:val="24"/>
          <w:szCs w:val="24"/>
        </w:rPr>
        <w:t xml:space="preserve">  nelle rispettive relazioni, anche in merito all'aumento delle risorse destinate alla  sicurezza e alla difesa nel prossimo QFP, all'esame di tutte le opzioni di finanziamento  efficaci per raggiungere tale obiettivo e all'unione a livello dell'UE di una parte dei  bilanci nazionali per la difesa al fine di generare economie di scala; invita inoltre gli  Stati membri a modificare il processo di finanziamento dell'EPF per garantire un  sostegno adeguato e sostenibile ai partner e agli alleati, allineandolo nel contempo alle  missioni e alle operazioni PSDC; chiede che venga elaborata una strategia per la  creazione di centri di eccellenza in diverse regioni dell'UE, senza duplicare il lavoro  della NATO in questo ambito, al fine di promuovere l'innovazione e la partecipazione di  tutti gli Stati membri garantendo che le capacità e le conoscenze specializzate di  ciascuno Stato membro contribuiscano a una base industriale della difesa più coesa e  integrata; </w:t>
      </w:r>
    </w:p>
    <w:p w:rsidR="00A95CCD" w:rsidRDefault="00B6332E">
      <w:pPr>
        <w:pStyle w:val="normal"/>
        <w:widowControl w:val="0"/>
        <w:pBdr>
          <w:top w:val="nil"/>
          <w:left w:val="nil"/>
          <w:bottom w:val="nil"/>
          <w:right w:val="nil"/>
          <w:between w:val="nil"/>
        </w:pBdr>
        <w:spacing w:before="246" w:line="229" w:lineRule="auto"/>
        <w:ind w:left="47" w:right="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 accoglie con favore il nuovo strumento finanziario di azione per la sicurezza dell'Europa  ed esorta la Commissione e gli Stati membri a garantire che l'aumento degli  investimenti nelle capacità di difesa dell'Europa rispetti il concetto di "comprare di più,  comprare meglio, comprare insieme, comprare europeo"; si rammarica del ricorso  all'articolo 122 e della conseguente mancanza di coinvolgimento del Parlamento </w:t>
      </w:r>
    </w:p>
    <w:p w:rsidR="00A95CCD" w:rsidRDefault="00B6332E">
      <w:pPr>
        <w:pStyle w:val="normal"/>
        <w:widowControl w:val="0"/>
        <w:pBdr>
          <w:top w:val="nil"/>
          <w:left w:val="nil"/>
          <w:bottom w:val="nil"/>
          <w:right w:val="nil"/>
          <w:between w:val="nil"/>
        </w:pBdr>
        <w:spacing w:line="240" w:lineRule="auto"/>
        <w:ind w:left="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nell'approvazione di tale strumento; </w:t>
      </w:r>
    </w:p>
    <w:p w:rsidR="00A95CCD" w:rsidRDefault="00B6332E">
      <w:pPr>
        <w:pStyle w:val="normal"/>
        <w:widowControl w:val="0"/>
        <w:pBdr>
          <w:top w:val="nil"/>
          <w:left w:val="nil"/>
          <w:bottom w:val="nil"/>
          <w:right w:val="nil"/>
          <w:between w:val="nil"/>
        </w:pBdr>
        <w:spacing w:before="235" w:line="229" w:lineRule="auto"/>
        <w:ind w:left="47" w:right="5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76. accoglie con favore la strategia per l'unione dei risparmi e degli investimenti ed esprime  l'auspicio che essa renda più agevole mobilitare i risparmi privati verso mercati dei  capitali più efficienti e convogliare gli investimenti nel settore della difesa; </w:t>
      </w:r>
    </w:p>
    <w:p w:rsidR="00A95CCD" w:rsidRDefault="00B6332E">
      <w:pPr>
        <w:pStyle w:val="normal"/>
        <w:widowControl w:val="0"/>
        <w:pBdr>
          <w:top w:val="nil"/>
          <w:left w:val="nil"/>
          <w:bottom w:val="nil"/>
          <w:right w:val="nil"/>
          <w:between w:val="nil"/>
        </w:pBdr>
        <w:spacing w:before="246" w:line="229" w:lineRule="auto"/>
        <w:ind w:left="605" w:right="6"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77. esorta gli Stati membri a sostenere l'istituzione di una banca per la difesa, la sicurezza e  la resilienza, che funga da istituto multilaterale di prestito concepito per fornire prestiti a  un basso tasso di interesse e a lungo termine per sostenere le principali priorità in  materia di sicurezza nazionale, quali il riarmo, la modernizzazione della difesa, gli  sforzi di ricostruzione in Ucraina e il riacquisto di infrastrutture critiche attualmente  controllate da paesi terzi ostili; </w:t>
      </w:r>
    </w:p>
    <w:p w:rsidR="00A95CCD" w:rsidRDefault="00B6332E">
      <w:pPr>
        <w:pStyle w:val="normal"/>
        <w:widowControl w:val="0"/>
        <w:pBdr>
          <w:top w:val="nil"/>
          <w:left w:val="nil"/>
          <w:bottom w:val="nil"/>
          <w:right w:val="nil"/>
          <w:between w:val="nil"/>
        </w:pBdr>
        <w:spacing w:before="246" w:line="229" w:lineRule="auto"/>
        <w:ind w:left="607" w:right="20" w:hanging="5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 ricorda che gli obiettivi di solidarietà, coesione e convergenza dell'UE si applicano  anche alla difesa; evidenzia che i mezzi finanziari necessari per ricostruire ed espandere  le nostre capacità di difesa nel decennio a venire incideranno in misura significativa  sulla </w:t>
      </w:r>
      <w:r>
        <w:rPr>
          <w:rFonts w:ascii="Times New Roman" w:eastAsia="Times New Roman" w:hAnsi="Times New Roman" w:cs="Times New Roman"/>
          <w:color w:val="000000"/>
          <w:sz w:val="24"/>
          <w:szCs w:val="24"/>
        </w:rPr>
        <w:lastRenderedPageBreak/>
        <w:t xml:space="preserve">solidità e sulla sostenibilità delle finanze pubbliche, e che pertanto è necessario  garantire cooperazione e coordinamento a livello dell'UE attraverso un'autentica politica  economica per la difesa; sottolinea che l'aumento degli investimenti nel settore della  difesa non dovrebbe entrare in concorrenza con altre priorità di investimento, compresa  la coesione sociale; ricorda inoltre che gli orientamenti finanziari dovrebbero essere  ancorati a un approccio alla resilienza per l'intera società, pertanto devono essere  ampiamente sostenuti dai cittadini europei e tale sostegno deve essere sostenibile nel  lungo termine; sottolinea che l'onere finanziario deve quindi essere ripartito equamente,  soprattutto tra le imprese redditizie che già beneficiano di partecipazioni pubbliche o di  aiuti di Stato; evidenzia inoltre che la spesa pubblica dovrebbe essere integrata da  maggiori finanziamenti privati; invita la Commissione a riflettere sui possibili scenari  fiscali che consentirebbero una ripartizione più equa dell'onere finanziario e  limiterebbero le perturbazioni della concorrenza nell'ambito dell'EDTIB indotte dagli  aiuti di Stato e dalle procedure di appalto </w:t>
      </w:r>
      <w:proofErr w:type="spellStart"/>
      <w:r>
        <w:rPr>
          <w:rFonts w:ascii="Times New Roman" w:eastAsia="Times New Roman" w:hAnsi="Times New Roman" w:cs="Times New Roman"/>
          <w:color w:val="000000"/>
          <w:sz w:val="24"/>
          <w:szCs w:val="24"/>
        </w:rPr>
        <w:t>distorsive</w:t>
      </w:r>
      <w:proofErr w:type="spellEnd"/>
      <w:r>
        <w:rPr>
          <w:rFonts w:ascii="Times New Roman" w:eastAsia="Times New Roman" w:hAnsi="Times New Roman" w:cs="Times New Roman"/>
          <w:color w:val="000000"/>
          <w:sz w:val="24"/>
          <w:szCs w:val="24"/>
        </w:rPr>
        <w:t xml:space="preserve"> del mercato;  </w:t>
      </w:r>
    </w:p>
    <w:p w:rsidR="00A95CCD" w:rsidRDefault="00B6332E">
      <w:pPr>
        <w:pStyle w:val="normal"/>
        <w:widowControl w:val="0"/>
        <w:pBdr>
          <w:top w:val="nil"/>
          <w:left w:val="nil"/>
          <w:bottom w:val="nil"/>
          <w:right w:val="nil"/>
          <w:between w:val="nil"/>
        </w:pBdr>
        <w:spacing w:before="246" w:line="229" w:lineRule="auto"/>
        <w:ind w:left="606" w:right="186" w:hanging="5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79. chiede che il prossimo QFP fornisca realmente i mezzi per costruire una vera Unione  della difesa; sostiene le proposte volte a fornire ingenti investimenti finanziari dell'UE  nel settore della difesa europea e a stimolare la ricerca e l'innovazione tecnologica,  nonché i progetti a duplice uso, nell'industria europea della difesa, rafforzandone in tal  modo la competitività e promuovendo progressi che contribuiscano sia alla sicurezza  che alla crescita economica sostenibile; sottolinea che gli investimenti nel settore della  difesa a titolo del bilancio dell'UE dovrebbero solo integrare, ma non sostituire, gli  sforzi finanziari degli Stati membri, soprattutto in virtù dell'ambizione dei paesi che  fanno parte sia dell'UE che della NATO di investire il 2 % del loro PIL nella difesa;  invita gli Stati membri ad anticipare la revisione della portata e della determinazione  delle spese comuni per rafforzare la solidarietà e incoraggiare la partecipazione alle  missioni e alle operazioni PSDC, insieme alla revisione delle spese legate alle  esercitazioni, conformemente alla bussola strategica;  </w:t>
      </w:r>
    </w:p>
    <w:p w:rsidR="00A95CCD" w:rsidRDefault="00B6332E">
      <w:pPr>
        <w:pStyle w:val="normal"/>
        <w:widowControl w:val="0"/>
        <w:pBdr>
          <w:top w:val="nil"/>
          <w:left w:val="nil"/>
          <w:bottom w:val="nil"/>
          <w:right w:val="nil"/>
          <w:between w:val="nil"/>
        </w:pBdr>
        <w:spacing w:before="246" w:line="229" w:lineRule="auto"/>
        <w:ind w:left="602" w:right="121" w:hanging="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80. invita la Commissione ad aumentare il debito comune, per far sì che l'Unione disponga  della capacità di bilancio necessaria per contrarre prestiti in situazioni eccezionali e di  crisi, presenti e future, tenendo conto dell'esperienza e degli insegnamenti tratti da  </w:t>
      </w:r>
      <w:proofErr w:type="spellStart"/>
      <w:r>
        <w:rPr>
          <w:rFonts w:ascii="Times New Roman" w:eastAsia="Times New Roman" w:hAnsi="Times New Roman" w:cs="Times New Roman"/>
          <w:color w:val="000000"/>
          <w:sz w:val="24"/>
          <w:szCs w:val="24"/>
        </w:rPr>
        <w:t>NextGenerationEU</w:t>
      </w:r>
      <w:proofErr w:type="spellEnd"/>
      <w:r>
        <w:rPr>
          <w:rFonts w:ascii="Times New Roman" w:eastAsia="Times New Roman" w:hAnsi="Times New Roman" w:cs="Times New Roman"/>
          <w:color w:val="000000"/>
          <w:sz w:val="24"/>
          <w:szCs w:val="24"/>
        </w:rPr>
        <w:t>, vista la necessità pressante di rafforzare la sicurezza e la difesa per  proteggere i cittadini dell'UE, ripristinare la deterrenza e sostenere gli alleati,  innanzitutto l'Ucraina; sottolinea che l'onere di tale azione deve essere condiviso  equamente;</w:t>
      </w:r>
    </w:p>
    <w:p w:rsidR="00A95CCD" w:rsidRDefault="00B6332E">
      <w:pPr>
        <w:pStyle w:val="normal"/>
        <w:widowControl w:val="0"/>
        <w:pBdr>
          <w:top w:val="nil"/>
          <w:left w:val="nil"/>
          <w:bottom w:val="nil"/>
          <w:right w:val="nil"/>
          <w:between w:val="nil"/>
        </w:pBdr>
        <w:spacing w:line="229" w:lineRule="auto"/>
        <w:ind w:left="607" w:right="43" w:hanging="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81. chiede che il prossimo QFP fornisca maggiore sostegno finanziario per garantire la  fornitura tempestiva di prodotti di difesa mediante appalti congiunti, coordinamento  industriale, stoccaggio, sostegno alle PMI ed espansione delle capacità produttive;  sottolinea che tali finanziamenti dovrebbero in particolare dare priorità agli Stati  membri confinanti con l'Ucraina per rafforzarne la protezione, nonché agli Stati membri  che si trovano ad affrontare un rischio elevato di minacce militari convenzionali, come  quelli confinanti con la Russia e la Bielorussia; </w:t>
      </w:r>
    </w:p>
    <w:p w:rsidR="00A95CCD" w:rsidRDefault="00B6332E">
      <w:pPr>
        <w:pStyle w:val="normal"/>
        <w:widowControl w:val="0"/>
        <w:pBdr>
          <w:top w:val="nil"/>
          <w:left w:val="nil"/>
          <w:bottom w:val="nil"/>
          <w:right w:val="nil"/>
          <w:between w:val="nil"/>
        </w:pBdr>
        <w:spacing w:before="246" w:line="229" w:lineRule="auto"/>
        <w:ind w:left="604" w:right="9"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82. esprime preoccupazione per la mancanza dei tanto necessari finanziamenti privati per  l'EDTIB, in particolare per le PMI, e ritiene che tale carenza possa derivare dalla  mancanza di contratti pubblici a lungo termine o da un'interpretazione eccessivamente  restrittiva dei criteri ambientali, sociali e di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accoglie pertanto con favore la  precisazione fornita dall'Autorità europea degli strumenti finanziari e dei mercati il 14  maggio 2024, secondo cui l'accesso ai fondi è vietato automaticamente solo alle imprese  che trattano armi vietate a norma del diritto internazionale; accoglie con favore le  proposte contenute nella relazione </w:t>
      </w:r>
      <w:proofErr w:type="spellStart"/>
      <w:r>
        <w:rPr>
          <w:rFonts w:ascii="Times New Roman" w:eastAsia="Times New Roman" w:hAnsi="Times New Roman" w:cs="Times New Roman"/>
          <w:color w:val="000000"/>
          <w:sz w:val="24"/>
          <w:szCs w:val="24"/>
        </w:rPr>
        <w:t>Niinistö</w:t>
      </w:r>
      <w:proofErr w:type="spellEnd"/>
      <w:r>
        <w:rPr>
          <w:rFonts w:ascii="Times New Roman" w:eastAsia="Times New Roman" w:hAnsi="Times New Roman" w:cs="Times New Roman"/>
          <w:color w:val="000000"/>
          <w:sz w:val="24"/>
          <w:szCs w:val="24"/>
        </w:rPr>
        <w:t xml:space="preserve"> per evitare la frammentazione della spesa  per la difesa, combinare i flussi di finanziamento pertinenti e stimolare maggiori  investimenti del settore privato; invita la Commissione a valutare le raccomandazioni e  </w:t>
      </w:r>
      <w:r>
        <w:rPr>
          <w:rFonts w:ascii="Times New Roman" w:eastAsia="Times New Roman" w:hAnsi="Times New Roman" w:cs="Times New Roman"/>
          <w:color w:val="000000"/>
          <w:sz w:val="24"/>
          <w:szCs w:val="24"/>
        </w:rPr>
        <w:lastRenderedPageBreak/>
        <w:t xml:space="preserve">a presentare proposte concrete; sottolinea la necessità di migliorare l'accesso  dell'industria della difesa ai mercati dei capitali;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Politica di prestito della BEI per il settore della difesa </w:t>
      </w:r>
    </w:p>
    <w:p w:rsidR="00A95CCD" w:rsidRDefault="00B6332E">
      <w:pPr>
        <w:pStyle w:val="normal"/>
        <w:widowControl w:val="0"/>
        <w:pBdr>
          <w:top w:val="nil"/>
          <w:left w:val="nil"/>
          <w:bottom w:val="nil"/>
          <w:right w:val="nil"/>
          <w:between w:val="nil"/>
        </w:pBdr>
        <w:spacing w:before="235" w:line="229" w:lineRule="auto"/>
        <w:ind w:left="604" w:right="3"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sottolinea l'importanza, per il settore della difesa, dell'accesso ai prestiti forniti dalla  BEI quale catalizzatore per gli investimenti privati nell'industria europea della difesa;  accoglie con favore l'ulteriore estensione dei criteri di ammissibilità della BEI ai beni a  duplice uso e invita la BEI ad adottare ulteriori misure al riguardo; evidenzia che, dato  l'obiettivo della BEI di promuovere lo sviluppo dell'UE e di sostenere le sue politiche,  in particolare la politica di difesa e il rafforzamento dell'EDTIB, in linea con l'articolo  309 TFUE, la BEI dovrebbe riesaminare ulteriormente la sua politica in materia di  prestiti e adeguarla costantemente; invita la BEI a procedere a una revisione dell'impatto  dell'estensione della sua politica in materia di beni a duplice uso e a riformare, se del  caso, il suo elenco di ammissibilità, in modo che le munizioni e le attrezzature militari  che eccedono le applicazioni a duplice uso non siano più escluse dai finanziamenti della  BEI; accoglie con favore l'iniziativa strategica per la sicurezza europea della BEI del  2022 volta a sostenere la ricerca, lo sviluppo e l'innovazione a duplice uso, le  infrastrutture di sicurezza e progetti tecnologici incentrati sulla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il nuovo  spazio, l'intelligenza artificiale e le tecnologie quantistiche;  </w:t>
      </w:r>
    </w:p>
    <w:p w:rsidR="00A95CCD" w:rsidRDefault="00B6332E">
      <w:pPr>
        <w:pStyle w:val="normal"/>
        <w:widowControl w:val="0"/>
        <w:pBdr>
          <w:top w:val="nil"/>
          <w:left w:val="nil"/>
          <w:bottom w:val="nil"/>
          <w:right w:val="nil"/>
          <w:between w:val="nil"/>
        </w:pBdr>
        <w:spacing w:before="366" w:line="229" w:lineRule="auto"/>
        <w:ind w:left="42" w:right="197" w:firstLine="1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Contribuire più efficacemente alla sicurezza globale attraverso la politica di sicurezza e di  difesa comune dell'UE e rafforzare il ruolo dell'UE come attore nel settore della sicurezza </w:t>
      </w:r>
    </w:p>
    <w:p w:rsidR="00A95CCD" w:rsidRDefault="00B6332E">
      <w:pPr>
        <w:pStyle w:val="normal"/>
        <w:widowControl w:val="0"/>
        <w:pBdr>
          <w:top w:val="nil"/>
          <w:left w:val="nil"/>
          <w:bottom w:val="nil"/>
          <w:right w:val="nil"/>
          <w:between w:val="nil"/>
        </w:pBdr>
        <w:spacing w:before="366" w:line="240" w:lineRule="auto"/>
        <w:ind w:left="26"/>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Allentamento delle tensioni, prevenzione delle guerre e sostegno alla risoluzione dei conflitti </w:t>
      </w:r>
    </w:p>
    <w:p w:rsidR="00A95CCD" w:rsidRDefault="00B6332E">
      <w:pPr>
        <w:pStyle w:val="normal"/>
        <w:widowControl w:val="0"/>
        <w:pBdr>
          <w:top w:val="nil"/>
          <w:left w:val="nil"/>
          <w:bottom w:val="nil"/>
          <w:right w:val="nil"/>
          <w:between w:val="nil"/>
        </w:pBdr>
        <w:spacing w:before="235" w:line="229" w:lineRule="auto"/>
        <w:ind w:left="52" w:right="1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 condanna fermamente ed esprime profonda preoccupazione per il sostegno della Cina  alla Russia nella sua guerra di aggressione contro l'Ucraina, in particolare attraverso la  cooperazione con la base industriale e tecnologica militare della Russia, l'esportazione  di beni e tecnologie a duplice uso verso la Russia e il costante coinvolgimento di  imprese con sede in Cina nell'evasione e nell'elusione delle sanzioni;</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rPr>
        <w:t xml:space="preserve">esprime, a tale  proposito, profonda preoccupazione per le recenti segnalazioni secondo cui la Cina  starebbe producendo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da attacco a lungo raggio destinati a essere utilizzati dalla </w:t>
      </w:r>
    </w:p>
    <w:p w:rsidR="00A95CCD" w:rsidRDefault="00B6332E">
      <w:pPr>
        <w:pStyle w:val="normal"/>
        <w:widowControl w:val="0"/>
        <w:pBdr>
          <w:top w:val="nil"/>
          <w:left w:val="nil"/>
          <w:bottom w:val="nil"/>
          <w:right w:val="nil"/>
          <w:between w:val="nil"/>
        </w:pBdr>
        <w:spacing w:line="229" w:lineRule="auto"/>
        <w:ind w:left="604" w:right="16"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Russia nella sua guerra di aggressione contro l'Ucraina, e chiede che siano previste  conseguenze gravi nell'ambito della politica esterna dell'UE nei confronti della Cina  qualora quest'ultima continui a sostenere gli sforzi di armamento della Russia; </w:t>
      </w:r>
      <w:r>
        <w:rPr>
          <w:rFonts w:ascii="Times New Roman" w:eastAsia="Times New Roman" w:hAnsi="Times New Roman" w:cs="Times New Roman"/>
          <w:color w:val="000000"/>
          <w:sz w:val="24"/>
          <w:szCs w:val="24"/>
          <w:highlight w:val="white"/>
        </w:rPr>
        <w:t xml:space="preserve">deplora il </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highlight w:val="white"/>
        </w:rPr>
        <w:t>artenariato "senza limiti" tra Russia e Cina ed esprime profonda preoccupazione per il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rinnovato impegno dei due paesi a rafforzare ulteriormente i loro legami; </w:t>
      </w:r>
      <w:r>
        <w:rPr>
          <w:rFonts w:ascii="Times New Roman" w:eastAsia="Times New Roman" w:hAnsi="Times New Roman" w:cs="Times New Roman"/>
          <w:color w:val="000000"/>
          <w:sz w:val="24"/>
          <w:szCs w:val="24"/>
        </w:rPr>
        <w:t xml:space="preserve">accoglie con  favore la decisione del Consiglio di imporre sanzioni alle imprese cinesi per il loro  sostegno alla guerra russa in Ucraina; </w:t>
      </w:r>
    </w:p>
    <w:p w:rsidR="00A95CCD" w:rsidRDefault="00B6332E">
      <w:pPr>
        <w:pStyle w:val="normal"/>
        <w:widowControl w:val="0"/>
        <w:pBdr>
          <w:top w:val="nil"/>
          <w:left w:val="nil"/>
          <w:bottom w:val="nil"/>
          <w:right w:val="nil"/>
          <w:between w:val="nil"/>
        </w:pBdr>
        <w:spacing w:before="246" w:line="229" w:lineRule="auto"/>
        <w:ind w:left="604" w:right="60"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85. esprime profonda preoccupazione per i crescenti investimenti della Cina nelle capacità  militari e per la militarizzazione delle sue catene di approvvigionamento al fine di  rafforzare la sua industria, sfruttando nel contempo le opportunità politiche ed  economiche messe a disposizione dalla guerra di aggressione della Russia contro  l'Ucraina; esprime inoltre profonda preoccupazione per l'impatto delle dipendenze  europee dalla Cina sulla credibilità della capacità degli Stati membri di salvaguardare la  propria sicurezza nazionale e della capacità dell'UE nel suo complesso di criticare e  contrastare efficacemente la coercizione economica della Cina, un'eventuale escalation  delle tensioni con Taiwan e il sostegno alla Russia; invita la Commissione e gli Stati  membri a dare seria attuazione a una politica di "riduzione dei rischi" al fine di gestire i  rischi derivanti dall'interazione con la Cina in ambito economico e tecnologico; chiede,  a tale proposito, che siano affrontati i rischi posti dai fornitori cinesi nelle infrastrutture  </w:t>
      </w:r>
      <w:r>
        <w:rPr>
          <w:rFonts w:ascii="Times New Roman" w:eastAsia="Times New Roman" w:hAnsi="Times New Roman" w:cs="Times New Roman"/>
          <w:color w:val="000000"/>
          <w:sz w:val="24"/>
          <w:szCs w:val="24"/>
        </w:rPr>
        <w:lastRenderedPageBreak/>
        <w:t xml:space="preserve">critiche dell'UE e che non siano destinati fondi o sovvenzioni dell'UE per favorire la  posizione di tali fornitori in Europa; </w:t>
      </w:r>
    </w:p>
    <w:p w:rsidR="00A95CCD" w:rsidRDefault="00B6332E">
      <w:pPr>
        <w:pStyle w:val="normal"/>
        <w:widowControl w:val="0"/>
        <w:pBdr>
          <w:top w:val="nil"/>
          <w:left w:val="nil"/>
          <w:bottom w:val="nil"/>
          <w:right w:val="nil"/>
          <w:between w:val="nil"/>
        </w:pBdr>
        <w:spacing w:before="246" w:line="229" w:lineRule="auto"/>
        <w:ind w:left="604" w:right="33"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86. condanna fermamente le esercitazioni militari ingiustificate della Cina del 14 ottobre  2024 intorno a Taiwan; </w:t>
      </w:r>
      <w:r>
        <w:rPr>
          <w:rFonts w:ascii="Times New Roman" w:eastAsia="Times New Roman" w:hAnsi="Times New Roman" w:cs="Times New Roman"/>
          <w:color w:val="000000"/>
          <w:sz w:val="24"/>
          <w:szCs w:val="24"/>
          <w:highlight w:val="white"/>
        </w:rPr>
        <w:t xml:space="preserve">condanna inoltre il numero crescente di atti ostili perpetrati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dalla Cina nei confronti di Taiwan, tra cui </w:t>
      </w:r>
      <w:r>
        <w:rPr>
          <w:rFonts w:ascii="Times New Roman" w:eastAsia="Times New Roman" w:hAnsi="Times New Roman" w:cs="Times New Roman"/>
          <w:color w:val="000000"/>
          <w:sz w:val="24"/>
          <w:szCs w:val="24"/>
        </w:rPr>
        <w:t xml:space="preserve">attacchi informatici, campagne di influenza,  l'incursione di aerei da guerra cinesi nella zona di identificazione della difesa aerea di  Taiwan e la recisione di cavi sottomarini; ribadisce il proprio saldo impegno a  preservare lo status quo nello stretto di Taiwan e sottolinea che qualsiasi tentativo di  modifica unilaterale, in particolare attraverso la forza o la coercizione, non sarà  accettato e susciterà una reazione decisa e ferma; plaude alla moderazione e alla  reazione disciplinata delle autorità taiwanesi e invita le autorità cinesi a dar prova di  moderazione ed evitare qualsiasi azione che possa aggravare ulteriormente le tensioni  tra le due sponde dello stretto; chiede scambi regolari tra l'UE e le sue controparti  taiwanesi sulle questioni di sicurezza pertinenti e una maggiore cooperazione nella lotta  alla disinformazione e alle ingerenze straniere; sottolinea che qualsiasi escalation nello  stretto di Taiwan avrebbe effetti dannosi sulla sicurezza e sull'economia europee ed  esorta pertanto la Commissione a iniziare a mettere a punto piani di emergenza e misure  di mitigazione basati su scenari di escalation probabili, come ad esempio un blocco  economico di Taiwan da parte della Cina; </w:t>
      </w:r>
    </w:p>
    <w:p w:rsidR="00A95CCD" w:rsidRDefault="00B6332E">
      <w:pPr>
        <w:pStyle w:val="normal"/>
        <w:widowControl w:val="0"/>
        <w:pBdr>
          <w:top w:val="nil"/>
          <w:left w:val="nil"/>
          <w:bottom w:val="nil"/>
          <w:right w:val="nil"/>
          <w:between w:val="nil"/>
        </w:pBdr>
        <w:spacing w:before="246" w:line="229" w:lineRule="auto"/>
        <w:ind w:left="606" w:right="69" w:hanging="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87. esprime profonda preoccupazione per le azioni sempre più aggressive della Cina nel  Mar cinese meridionale e nella regione indo-pacifica, in particolare il ricorso alla  coercizione militare ed economica, le tattiche di guerra ibrida, le pericolose manovre  condotte dalla marina e dalla guardia costiera cinesi contro i propri vicini e la  costruzione di isole artificiali, con l'obiettivo di avanzare rivendicazioni marittime  illecite e minacciare le rotte marittime; segnala che una nave ricollegabile alla Cina ha  reciso un cavo sottomarino taiwanese agli inizi del gennaio 2025 e chiede un'indagine  approfondita al riguardo; invita inoltre Taiwan e l'UE a condividere informazioni su tali  incidenti; ribadisce il suo vivo interesse e forte sostegno per quanto concerne la libertà  di navigazione e la sicurezza marittima in qualsiasi luogo, in particolare nel Mar cinese  meridionale; invita le autorità cinesi a porre fine a tutte le azioni aggressive e alle </w:t>
      </w:r>
    </w:p>
    <w:p w:rsidR="00A95CCD" w:rsidRDefault="00B6332E">
      <w:pPr>
        <w:pStyle w:val="normal"/>
        <w:widowControl w:val="0"/>
        <w:pBdr>
          <w:top w:val="nil"/>
          <w:left w:val="nil"/>
          <w:bottom w:val="nil"/>
          <w:right w:val="nil"/>
          <w:between w:val="nil"/>
        </w:pBdr>
        <w:spacing w:line="229" w:lineRule="auto"/>
        <w:ind w:left="604" w:right="3" w:hanging="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provocazioni, in particolare le operazioni aeree e marittime nello stretto di Taiwan e nel  Mar cinese meridionale che mettono a rischio la stabilità nella regione indo-pacifica  compromettendo in tal modo la sicurezza e la pace internazionale, la sovranità dei paesi  della regione, la sicurezza della vita in mare e la libertà di navigazione nel pieno rispetto  dell'UNCLOS; plaude all'aumento delle esercitazioni di libertà di navigazione condotte  da diversi paesi dell'UE, tra cui Francia, Paesi Bassi e Germania; osserva che tali attività  sono in linea con il diritto internazionale e sollecita un rafforzamento della  cooperazione e del coordinamento con i partner regionali, anche attraverso presenze  marittime coordinate nell'Oceano indiano nordoccidentale, al fine di accrescere il  numero delle operazioni di libertà di navigazione nella regione; </w:t>
      </w:r>
    </w:p>
    <w:p w:rsidR="00A95CCD" w:rsidRDefault="00B6332E">
      <w:pPr>
        <w:pStyle w:val="normal"/>
        <w:widowControl w:val="0"/>
        <w:pBdr>
          <w:top w:val="nil"/>
          <w:left w:val="nil"/>
          <w:bottom w:val="nil"/>
          <w:right w:val="nil"/>
          <w:between w:val="nil"/>
        </w:pBdr>
        <w:spacing w:before="246" w:line="229" w:lineRule="auto"/>
        <w:ind w:left="604" w:right="327" w:hanging="5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88. continua a essere preoccupato per la pressione politica ed economica esercitata dalla  Cina e dalla Russia in Asia centrale e sottolinea la necessità di accrescere la presenza  dell'UE nella regione in risposta a tale pressione; evidenzia l'interesse dell'UE a  rafforzare la cooperazione in materia di sicurezza, le relazioni economiche e i legami  politici con i paesi dell'Asia centrale, anche al fine di affrontare la questione  dell'elusione delle sanzioni imposte alla Russia e alla Bielorussia; </w:t>
      </w:r>
    </w:p>
    <w:p w:rsidR="00A95CCD" w:rsidRDefault="00B6332E">
      <w:pPr>
        <w:pStyle w:val="normal"/>
        <w:widowControl w:val="0"/>
        <w:pBdr>
          <w:top w:val="nil"/>
          <w:left w:val="nil"/>
          <w:bottom w:val="nil"/>
          <w:right w:val="nil"/>
          <w:between w:val="nil"/>
        </w:pBdr>
        <w:spacing w:before="246" w:line="229" w:lineRule="auto"/>
        <w:ind w:left="52" w:right="8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89. condanna con la massima fermezza l'Iran per le sue attività destabilizzanti nella regione  del Medio Oriente, anche tramite i suoi mandatari, e per il suo costante sostegno a  gruppi terroristici, che costituisce una minaccia diretta per la sicurezza regionale,  </w:t>
      </w:r>
    </w:p>
    <w:p w:rsidR="00A95CCD" w:rsidRDefault="00B6332E">
      <w:pPr>
        <w:pStyle w:val="normal"/>
        <w:widowControl w:val="0"/>
        <w:pBdr>
          <w:top w:val="nil"/>
          <w:left w:val="nil"/>
          <w:bottom w:val="nil"/>
          <w:right w:val="nil"/>
          <w:between w:val="nil"/>
        </w:pBdr>
        <w:spacing w:before="6" w:line="229" w:lineRule="auto"/>
        <w:ind w:left="604" w:right="43" w:firstLine="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europea e globale; condanna la crescente cooperazione militare tra l'Iran e la Russia, in  </w:t>
      </w:r>
      <w:r>
        <w:rPr>
          <w:rFonts w:ascii="Times New Roman" w:eastAsia="Times New Roman" w:hAnsi="Times New Roman" w:cs="Times New Roman"/>
          <w:color w:val="000000"/>
          <w:sz w:val="24"/>
          <w:szCs w:val="24"/>
        </w:rPr>
        <w:lastRenderedPageBreak/>
        <w:t xml:space="preserve">particolare la loro intenzione di firmare un trattato su un partenariato strategico globale;  esprime, tuttavia, pieno sostegno e solidarietà alla società civile e alle forze  democratiche in Iran e chiede maggiori sforzi internazionali per sostenere questi gruppi  nella loro lotta per la libertà e i diritti umani; accoglie con favore la decisione dell'UE di  rinnovare le sanzioni contro l'Iran fino a luglio 2025, imponendo anche sanzioni sulla  sua produzione di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e missili e sulla fornitura di tali attrezzature alla Russia e a tutta  la regione del Medio Oriente; sottolinea che le opzioni sanzionatorie non ancora  esaurite comprendono un approccio molto più restrittivo ai trasferimenti di tecnologia  attraverso l'esportazione di prodotti che non sono classificati come "a duplice uso"; </w:t>
      </w:r>
    </w:p>
    <w:p w:rsidR="00A95CCD" w:rsidRDefault="00B6332E">
      <w:pPr>
        <w:pStyle w:val="normal"/>
        <w:widowControl w:val="0"/>
        <w:pBdr>
          <w:top w:val="nil"/>
          <w:left w:val="nil"/>
          <w:bottom w:val="nil"/>
          <w:right w:val="nil"/>
          <w:between w:val="nil"/>
        </w:pBdr>
        <w:spacing w:before="246" w:line="229" w:lineRule="auto"/>
        <w:ind w:left="606" w:right="7"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condanna senza riserve il governo iraniano per aver aiutato e favorito organizzazioni e  reti terroristiche riconosciute a livello internazionale, come Hamas ed Hezbollah, che  hanno perpetrato o intentato attacchi all'interno dell'UE, rappresentando una minaccia  diretta per la sicurezza, la sovranità e la stabilità europee; ricorda, a tale proposito, che il  Corpo delle guardie rivoluzionarie islamiche è stato coinvolto nella pianificazione e  nell'esecuzione di decine di omicidi e attacchi terroristici, anche sul territorio europeo,  negli ultimi 30 anni e, più recentemente, in attacchi contro sinagoghe e individui di  religione ebraica, nonché contro ambasciate israeliane in diversi Stati membri; esorta  l'UE e gli Stati membri a rafforzare la condivisione di intelligence e le misure  antiterrorismo per prevenire attacchi futuri; rinnova il suo invito di lunga data ad  aggiungere il Corpo delle guardie rivoluzionarie islamiche all'elenco dell'UE delle  organizzazioni terroristiche e sostiene le iniziative intraprese da alcuni Stati membri al  riguardo; </w:t>
      </w:r>
    </w:p>
    <w:p w:rsidR="00A95CCD" w:rsidRDefault="00B6332E">
      <w:pPr>
        <w:pStyle w:val="normal"/>
        <w:widowControl w:val="0"/>
        <w:pBdr>
          <w:top w:val="nil"/>
          <w:left w:val="nil"/>
          <w:bottom w:val="nil"/>
          <w:right w:val="nil"/>
          <w:between w:val="nil"/>
        </w:pBdr>
        <w:spacing w:before="246" w:line="229" w:lineRule="auto"/>
        <w:ind w:left="47" w:right="3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ritiene che il programma di armamento nucleare dell'Iran rappresenti una delle  principali minacce alla sicurezza globale e sottolinea che, se riuscirà ad acquisire la  capacità di dotarsi di armi nucleari, vi è il rischio che l'Iran diventi più belligerante e  intensifichi il sostegno statale al terrorismo e la proliferazione di missili e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40" w:lineRule="auto"/>
        <w:ind w:lef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92. condanna nuovamente, con la massima fermezza, gli spregevoli attacchi terroristici </w:t>
      </w:r>
    </w:p>
    <w:p w:rsidR="00A95CCD" w:rsidRDefault="00B6332E">
      <w:pPr>
        <w:pStyle w:val="normal"/>
        <w:widowControl w:val="0"/>
        <w:pBdr>
          <w:top w:val="nil"/>
          <w:left w:val="nil"/>
          <w:bottom w:val="nil"/>
          <w:right w:val="nil"/>
          <w:between w:val="nil"/>
        </w:pBdr>
        <w:spacing w:line="229" w:lineRule="auto"/>
        <w:ind w:left="604" w:right="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perpetrati dall'organizzazione terroristica Hamas contro Israele il 7 ottobre 2023, che  hanno contribuito a destabilizzare ancor di più il Medio Oriente e sono stati amplificati  dalle aggressioni mosse contro Israele da mandatari iraniani (fra cui organizzazioni  terroristiche come Hezbollah in Libano e gli </w:t>
      </w:r>
      <w:proofErr w:type="spellStart"/>
      <w:r>
        <w:rPr>
          <w:rFonts w:ascii="Times New Roman" w:eastAsia="Times New Roman" w:hAnsi="Times New Roman" w:cs="Times New Roman"/>
          <w:color w:val="000000"/>
          <w:sz w:val="24"/>
          <w:szCs w:val="24"/>
        </w:rPr>
        <w:t>Houthi</w:t>
      </w:r>
      <w:proofErr w:type="spellEnd"/>
      <w:r>
        <w:rPr>
          <w:rFonts w:ascii="Times New Roman" w:eastAsia="Times New Roman" w:hAnsi="Times New Roman" w:cs="Times New Roman"/>
          <w:color w:val="000000"/>
          <w:sz w:val="24"/>
          <w:szCs w:val="24"/>
        </w:rPr>
        <w:t xml:space="preserve"> nello Yemen) e dallo stesso regime  iraniano; </w:t>
      </w:r>
      <w:r>
        <w:rPr>
          <w:rFonts w:ascii="Times New Roman" w:eastAsia="Times New Roman" w:hAnsi="Times New Roman" w:cs="Times New Roman"/>
          <w:color w:val="000000"/>
          <w:sz w:val="24"/>
          <w:szCs w:val="24"/>
          <w:highlight w:val="white"/>
        </w:rPr>
        <w:t>ribadisce il diritto di Israele all'autodifesa, quale sancito e limitato dal diritto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 xml:space="preserve">internazionale; </w:t>
      </w:r>
      <w:r>
        <w:rPr>
          <w:rFonts w:ascii="Times New Roman" w:eastAsia="Times New Roman" w:hAnsi="Times New Roman" w:cs="Times New Roman"/>
          <w:color w:val="000000"/>
          <w:sz w:val="24"/>
          <w:szCs w:val="24"/>
        </w:rPr>
        <w:t xml:space="preserve">chiede il rilascio immediato e incondizionato di tutte le persone ancora  ostaggio di Hamas; invita tutte le parti a porre immediatamente fine a tutte le ostilità e a  rispettare pienamente il diritto internazionale, compreso il diritto internazionale  umanitario; esprime forte preoccupazione quanto alla recente rottura del cessate il fuoco  a Gaza e chiede un immediato ritorno ad esso; sottolinea che ciò rappresenterebbe un  passo importante per alleviare l'enorme sofferenza inferta ai civili di entrambe le parti  negli ultimi mesi; plaude all'impegno dimostrato dai mediatori, tra cui gli Stati Uniti,  l'Egitto e il Qatar, i cui sforzi sono stati fondamentali per arrivare al primo cessate il  fuoco; esorta tutti gli attori europei e internazionali a contribuire attivamente al  raggiungimento di una nuova svolta, a vigilare sull'attuazione del cessate il fuoco e a  fare in modo che coloro che non lo rispettano siano chiamati a rispondere delle proprie  azioni; </w:t>
      </w:r>
    </w:p>
    <w:p w:rsidR="00A95CCD" w:rsidRDefault="00B6332E">
      <w:pPr>
        <w:pStyle w:val="normal"/>
        <w:widowControl w:val="0"/>
        <w:pBdr>
          <w:top w:val="nil"/>
          <w:left w:val="nil"/>
          <w:bottom w:val="nil"/>
          <w:right w:val="nil"/>
          <w:between w:val="nil"/>
        </w:pBdr>
        <w:spacing w:before="246" w:line="229" w:lineRule="auto"/>
        <w:ind w:left="604" w:right="36"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93. accoglie con favore il </w:t>
      </w:r>
      <w:proofErr w:type="spellStart"/>
      <w:r>
        <w:rPr>
          <w:rFonts w:ascii="Times New Roman" w:eastAsia="Times New Roman" w:hAnsi="Times New Roman" w:cs="Times New Roman"/>
          <w:color w:val="000000"/>
          <w:sz w:val="24"/>
          <w:szCs w:val="24"/>
        </w:rPr>
        <w:t>ridispiegamento</w:t>
      </w:r>
      <w:proofErr w:type="spellEnd"/>
      <w:r>
        <w:rPr>
          <w:rFonts w:ascii="Times New Roman" w:eastAsia="Times New Roman" w:hAnsi="Times New Roman" w:cs="Times New Roman"/>
          <w:color w:val="000000"/>
          <w:sz w:val="24"/>
          <w:szCs w:val="24"/>
        </w:rPr>
        <w:t xml:space="preserve"> della missione dell'UE di assistenza alle frontiere  a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il 31 gennaio 2025 per sostenere l'Autorità palestinese nell'agevolare il  passaggio sicuro per le evacuazioni mediche durante la fase I del cessate il fuoco; è  pronto ad avviare discussioni sui futuri contributi concreti a sostegno di un cessate il  fuoco; </w:t>
      </w:r>
    </w:p>
    <w:p w:rsidR="00A95CCD" w:rsidRDefault="00B6332E">
      <w:pPr>
        <w:pStyle w:val="normal"/>
        <w:widowControl w:val="0"/>
        <w:pBdr>
          <w:top w:val="nil"/>
          <w:left w:val="nil"/>
          <w:bottom w:val="nil"/>
          <w:right w:val="nil"/>
          <w:between w:val="nil"/>
        </w:pBdr>
        <w:spacing w:before="246" w:line="229" w:lineRule="auto"/>
        <w:ind w:left="604" w:right="34"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94. esprime profonda preoccupazione per l'escalation militare in Medio Oriente, che  </w:t>
      </w:r>
      <w:r>
        <w:rPr>
          <w:rFonts w:ascii="Times New Roman" w:eastAsia="Times New Roman" w:hAnsi="Times New Roman" w:cs="Times New Roman"/>
          <w:color w:val="000000"/>
          <w:sz w:val="24"/>
          <w:szCs w:val="24"/>
        </w:rPr>
        <w:lastRenderedPageBreak/>
        <w:t xml:space="preserve">contribuisce a destabilizzare ulteriormente la regione; deplora il numero inaccettabile di  vittime civili, lo sfollamento forzato causato dall'intensificarsi delle violenze e l'uso  persistente della forza militare; esprime inoltre profonda preoccupazione per l'azione  militare in corso nella Striscia di Gaza e in Cisgiordania ad opera delle forze di difesa  israeliane; condanna le forze di difesa israeliane per aver aperto il fuoco contro la forza  interinale delle Nazioni Unite in Libano (UNIFIL), commettendo una grave violazione  del diritto internazionale; ribadisce l'essenziale ruolo di stabilizzazione svolto  dall'UNIFIL, cui contribuiscono 16 Stati membri, nel sud del Libano; chiede un cessate  il fuoco immediato sia a Gaza che in Libano, la fine delle ostilità, l'attuazione piena e  simmetrica della risoluzione 1701 (2006) del Consiglio di sicurezza delle Nazioni Unite  e la protezione della popolazione civile; pone in evidenza la necessità che l'UE e altri  attori internazionali si assumano maggiori responsabilità e assistano i governi e le  organizzazioni della società civile in Medio Oriente nel raggiungere una pace duratura e  sostenibile, in particolare continuando a sostenere una soluzione fondata sulla  coesistenza di due Stati tra Israele e Palestina e contrastando il terrorismo e la  radicalizzazione nella regione; sottolinea che l'evoluzione dei conflitti nella regione ha  ripercussioni sulle regioni limitrofe e sull'Europa e pone sfide in materia di sicurezza  per l'UE per quanto riguarda il futuro della deterrenza, del diritto umanitario e della  gestione delle crisi;  </w:t>
      </w:r>
    </w:p>
    <w:p w:rsidR="00A95CCD" w:rsidRDefault="00B6332E">
      <w:pPr>
        <w:pStyle w:val="normal"/>
        <w:widowControl w:val="0"/>
        <w:pBdr>
          <w:top w:val="nil"/>
          <w:left w:val="nil"/>
          <w:bottom w:val="nil"/>
          <w:right w:val="nil"/>
          <w:between w:val="nil"/>
        </w:pBdr>
        <w:spacing w:before="246" w:line="229" w:lineRule="auto"/>
        <w:ind w:left="609" w:right="6" w:hanging="5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95. accoglie con favore il piano arabo di ripresa e ricostruzione presentato al vertice del  Cairo il 4 marzo 2025, che rappresenta una solida base per le discussioni sul futuro della  Striscia di Gaza; incoraggia la VP/AR e la commissaria responsabile per il  Mediterraneo a collaborare in modo costruttivo con i partner arabi per fornire soluzioni  credibili per la ricostruzione, la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e la sicurezza di Gaza; respinge, d'altro  canto, la proposta "Trump Gaza", che non tiene conto della volatilità delle condizioni di  sicurezza in tutto il Medio Oriente; è del parere che la gravità della distruzione e delle </w:t>
      </w:r>
    </w:p>
    <w:p w:rsidR="00A95CCD" w:rsidRDefault="00B6332E">
      <w:pPr>
        <w:pStyle w:val="normal"/>
        <w:widowControl w:val="0"/>
        <w:pBdr>
          <w:top w:val="nil"/>
          <w:left w:val="nil"/>
          <w:bottom w:val="nil"/>
          <w:right w:val="nil"/>
          <w:between w:val="nil"/>
        </w:pBdr>
        <w:spacing w:line="229" w:lineRule="auto"/>
        <w:ind w:left="612" w:right="73"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sofferenze umane a Gaza richieda un impegno internazionale globale in virtù del quale  gli Stati Uniti, l'UE, le Nazioni Unite, gli Stati arabi e altri partner internazionali  completerebbero i rispettivi sforzi per far sì che i negoziati riprendano e siano  costruttivi; si impegna a favore dei futuri sforzi di normalizzazione tra Israele e gli Stati  arabi nella regione; </w:t>
      </w:r>
    </w:p>
    <w:p w:rsidR="00A95CCD" w:rsidRDefault="00B6332E">
      <w:pPr>
        <w:pStyle w:val="normal"/>
        <w:widowControl w:val="0"/>
        <w:pBdr>
          <w:top w:val="nil"/>
          <w:left w:val="nil"/>
          <w:bottom w:val="nil"/>
          <w:right w:val="nil"/>
          <w:between w:val="nil"/>
        </w:pBdr>
        <w:spacing w:before="246" w:line="229" w:lineRule="auto"/>
        <w:ind w:left="604" w:right="26"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96. esorta il Consiglio e gli Stati membri a designare Hezbollah, nella sua totalità, come  organizzazione terroristica e a promuoverne il completo disarmo in linea con la  risoluzione 1701 (2006) del Consiglio di sicurezza delle Nazioni Unite; sottolinea le  recenti decisioni adottate da diversi paesi, tra cui gli Stati Uniti e il Canada, di designare  </w:t>
      </w:r>
      <w:proofErr w:type="spellStart"/>
      <w:r>
        <w:rPr>
          <w:rFonts w:ascii="Times New Roman" w:eastAsia="Times New Roman" w:hAnsi="Times New Roman" w:cs="Times New Roman"/>
          <w:color w:val="000000"/>
          <w:sz w:val="24"/>
          <w:szCs w:val="24"/>
        </w:rPr>
        <w:t>Samidoun</w:t>
      </w:r>
      <w:proofErr w:type="spellEnd"/>
      <w:r>
        <w:rPr>
          <w:rFonts w:ascii="Times New Roman" w:eastAsia="Times New Roman" w:hAnsi="Times New Roman" w:cs="Times New Roman"/>
          <w:color w:val="000000"/>
          <w:sz w:val="24"/>
          <w:szCs w:val="24"/>
        </w:rPr>
        <w:t xml:space="preserve"> come organizzazione terroristica che agisce come mandatario del Fronte  popolare per la liberazione della Palestina; evidenzia che </w:t>
      </w:r>
      <w:proofErr w:type="spellStart"/>
      <w:r>
        <w:rPr>
          <w:rFonts w:ascii="Times New Roman" w:eastAsia="Times New Roman" w:hAnsi="Times New Roman" w:cs="Times New Roman"/>
          <w:color w:val="000000"/>
          <w:sz w:val="24"/>
          <w:szCs w:val="24"/>
        </w:rPr>
        <w:t>Samidoun</w:t>
      </w:r>
      <w:proofErr w:type="spellEnd"/>
      <w:r>
        <w:rPr>
          <w:rFonts w:ascii="Times New Roman" w:eastAsia="Times New Roman" w:hAnsi="Times New Roman" w:cs="Times New Roman"/>
          <w:color w:val="000000"/>
          <w:sz w:val="24"/>
          <w:szCs w:val="24"/>
        </w:rPr>
        <w:t xml:space="preserve"> è stata messa al  bando in Germania nel 2023 e invita gli altri Stati membri dell'UE ad adottare misure  analoghe vietando la presenza di tale organizzazione sul loro territorio; </w:t>
      </w:r>
    </w:p>
    <w:p w:rsidR="00A95CCD" w:rsidRDefault="00B6332E">
      <w:pPr>
        <w:pStyle w:val="normal"/>
        <w:widowControl w:val="0"/>
        <w:pBdr>
          <w:top w:val="nil"/>
          <w:left w:val="nil"/>
          <w:bottom w:val="nil"/>
          <w:right w:val="nil"/>
          <w:between w:val="nil"/>
        </w:pBdr>
        <w:spacing w:before="246" w:line="229" w:lineRule="auto"/>
        <w:ind w:left="604" w:right="253" w:hanging="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97. osserva che il confine tra Giordania e Siria è utilizzato come punto di attraversamento  per il traffico di armi e droga; sottolinea la necessità di un sostegno continuo dell'UE  alla Giordania, indebolita dall'attuale crisi in Medio Oriente, e chiede un maggiore  ricorso all'EPF per proteggere il confine tra Giordania e Siria; </w:t>
      </w:r>
    </w:p>
    <w:p w:rsidR="00A95CCD" w:rsidRDefault="00B6332E">
      <w:pPr>
        <w:pStyle w:val="normal"/>
        <w:widowControl w:val="0"/>
        <w:pBdr>
          <w:top w:val="nil"/>
          <w:left w:val="nil"/>
          <w:bottom w:val="nil"/>
          <w:right w:val="nil"/>
          <w:between w:val="nil"/>
        </w:pBdr>
        <w:spacing w:before="246" w:line="229" w:lineRule="auto"/>
        <w:ind w:left="606" w:right="7" w:hanging="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98. riconosce che la Turchia è un paese di rilevanza strategica per l'UE; osserva che la  Turchia è sempre più presente in aree in cui l'UE ha interessi essenziali in materia di  sicurezza e dove sono attive missioni e operazioni PSDC; prende atto con rammarico  del ruolo destabilizzante della Turchia in alcune aree d'interesse per l'UE nonché nel suo  vicinato; pone in evidenza le attività illegali della Turchia contro gli interessi dell'UE  nel Mediterraneo orientale, in violazione del diritto internazionale, compresa  l'UNCLOS; ribadisce la sua condanna della firma dei memorandum d'intesa tra la  </w:t>
      </w:r>
      <w:r>
        <w:rPr>
          <w:rFonts w:ascii="Times New Roman" w:eastAsia="Times New Roman" w:hAnsi="Times New Roman" w:cs="Times New Roman"/>
          <w:color w:val="000000"/>
          <w:sz w:val="24"/>
          <w:szCs w:val="24"/>
        </w:rPr>
        <w:lastRenderedPageBreak/>
        <w:t xml:space="preserve">Turchia e la Libia su una cooperazione militare e di sicurezza globale e sulla  delimitazione delle zone marittime, che sono interconnessi e violano chiaramente il  diritto internazionale, le pertinenti risoluzioni del Consiglio di sicurezza delle Nazioni  Unite e i diritti sovrani degli Stati membri dell'UE; deplora il fatto che la Turchia  compromette l'efficacia delle sanzioni dell'UE contro la Russia e ribadisce il suo invito  alla Turchia ad allinearsi pienamente a tali sanzioni; invita la Turchia ad astenersi dal  compromettere le missioni e le operazioni PSDC dell'UE; rinnova il suo appello alla  Turchia affinché adempia l'obbligo di attuare integralmente e in modo non  discriminatorio il protocollo aggiuntivo dell'accordo di Ankara nei confronti di tutti gli  Stati membri, compresa la Repubblica di Cipro; </w:t>
      </w:r>
    </w:p>
    <w:p w:rsidR="00A95CCD" w:rsidRDefault="00B6332E">
      <w:pPr>
        <w:pStyle w:val="normal"/>
        <w:widowControl w:val="0"/>
        <w:pBdr>
          <w:top w:val="nil"/>
          <w:left w:val="nil"/>
          <w:bottom w:val="nil"/>
          <w:right w:val="nil"/>
          <w:between w:val="nil"/>
        </w:pBdr>
        <w:spacing w:before="246" w:line="229" w:lineRule="auto"/>
        <w:ind w:left="602" w:right="19" w:hanging="5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99. deplora il fatto che, nonostante gli sforzi di allentamento delle tensioni, la Turchia  continui a mantenere la minaccia di </w:t>
      </w:r>
      <w:r>
        <w:rPr>
          <w:rFonts w:ascii="Times New Roman" w:eastAsia="Times New Roman" w:hAnsi="Times New Roman" w:cs="Times New Roman"/>
          <w:i/>
          <w:color w:val="000000"/>
          <w:sz w:val="24"/>
          <w:szCs w:val="24"/>
        </w:rPr>
        <w:t xml:space="preserve">casus belli </w:t>
      </w:r>
      <w:r>
        <w:rPr>
          <w:rFonts w:ascii="Times New Roman" w:eastAsia="Times New Roman" w:hAnsi="Times New Roman" w:cs="Times New Roman"/>
          <w:color w:val="000000"/>
          <w:sz w:val="24"/>
          <w:szCs w:val="24"/>
        </w:rPr>
        <w:t xml:space="preserve">nei confronti della Grecia e a occupare  illegalmente la parte settentrionale della Repubblica di Cipro; condanna fermamente le  attività illegali della Turchia a Cipro, tra cui la violazione dello status della zona  cuscinetto, la crescente militarizzazione delle zone occupate della Repubblica di Cipro  nonché i suoi sforzi per potenziare l'entità secessionista nella parte occupata di Cipro in  violazione del diritto internazionale, osservando che tali attività non favoriscono la  ripresa dei negoziati guidati dalle Nazioni Unite; condanna il fatto che la Turchia  continui a violare le risoluzioni 550 (1984) e 789 (1992) del Consiglio di sicurezza delle  Nazioni Unite, che invitano la Turchia a trasferire la zona di </w:t>
      </w:r>
      <w:proofErr w:type="spellStart"/>
      <w:r>
        <w:rPr>
          <w:rFonts w:ascii="Times New Roman" w:eastAsia="Times New Roman" w:hAnsi="Times New Roman" w:cs="Times New Roman"/>
          <w:color w:val="000000"/>
          <w:sz w:val="24"/>
          <w:szCs w:val="24"/>
        </w:rPr>
        <w:t>Varosia</w:t>
      </w:r>
      <w:proofErr w:type="spellEnd"/>
      <w:r>
        <w:rPr>
          <w:rFonts w:ascii="Times New Roman" w:eastAsia="Times New Roman" w:hAnsi="Times New Roman" w:cs="Times New Roman"/>
          <w:color w:val="000000"/>
          <w:sz w:val="24"/>
          <w:szCs w:val="24"/>
        </w:rPr>
        <w:t xml:space="preserve"> ai suoi legittimi  abitanti nell'ambito dell'amministrazione temporanea delle Nazioni Unite, sostenendo  l'apertura della città al pubblico; esorta nuovamente la Turchia a fare marcia indietro  riguardo alle sue azioni illegali e unilaterali a </w:t>
      </w:r>
      <w:proofErr w:type="spellStart"/>
      <w:r>
        <w:rPr>
          <w:rFonts w:ascii="Times New Roman" w:eastAsia="Times New Roman" w:hAnsi="Times New Roman" w:cs="Times New Roman"/>
          <w:color w:val="000000"/>
          <w:sz w:val="24"/>
          <w:szCs w:val="24"/>
        </w:rPr>
        <w:t>Varosia</w:t>
      </w:r>
      <w:proofErr w:type="spellEnd"/>
      <w:r>
        <w:rPr>
          <w:rFonts w:ascii="Times New Roman" w:eastAsia="Times New Roman" w:hAnsi="Times New Roman" w:cs="Times New Roman"/>
          <w:color w:val="000000"/>
          <w:sz w:val="24"/>
          <w:szCs w:val="24"/>
        </w:rPr>
        <w:t>; invita altresì la Turchia a ritirare  le sue truppe da Cipro;</w:t>
      </w:r>
    </w:p>
    <w:p w:rsidR="00A95CCD" w:rsidRDefault="00B6332E">
      <w:pPr>
        <w:pStyle w:val="normal"/>
        <w:widowControl w:val="0"/>
        <w:pBdr>
          <w:top w:val="nil"/>
          <w:left w:val="nil"/>
          <w:bottom w:val="nil"/>
          <w:right w:val="nil"/>
          <w:between w:val="nil"/>
        </w:pBdr>
        <w:spacing w:line="229" w:lineRule="auto"/>
        <w:ind w:left="612" w:right="76" w:hanging="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100. chiede con urgenza la ripresa dei negoziati sulla riunificazione di Cipro sotto l'egida del  Segretario generale delle Nazioni Unite e ribadisce il suo sostegno incondizionato a  Cipro nel trovare una soluzione; invita la Turchia ad accettare una soluzione equa,  globale e praticabile a tale questione;  </w:t>
      </w:r>
    </w:p>
    <w:p w:rsidR="00A95CCD" w:rsidRDefault="00B6332E">
      <w:pPr>
        <w:pStyle w:val="normal"/>
        <w:widowControl w:val="0"/>
        <w:pBdr>
          <w:top w:val="nil"/>
          <w:left w:val="nil"/>
          <w:bottom w:val="nil"/>
          <w:right w:val="nil"/>
          <w:between w:val="nil"/>
        </w:pBdr>
        <w:spacing w:before="246" w:line="229" w:lineRule="auto"/>
        <w:ind w:left="66" w:right="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101. accoglie con favore la riunione informale estesa convocata dal Segretario generale delle  Nazioni Unite il 18 marzo 2025 a Ginevra al fine di aprire la strada alla ripresa dei  negoziati sulla questione cipriota, rigorosamente nell'ambito del quadro concordato  </w:t>
      </w:r>
    </w:p>
    <w:p w:rsidR="00A95CCD" w:rsidRDefault="00B6332E">
      <w:pPr>
        <w:pStyle w:val="normal"/>
        <w:widowControl w:val="0"/>
        <w:pBdr>
          <w:top w:val="nil"/>
          <w:left w:val="nil"/>
          <w:bottom w:val="nil"/>
          <w:right w:val="nil"/>
          <w:between w:val="nil"/>
        </w:pBdr>
        <w:spacing w:before="6" w:line="229" w:lineRule="auto"/>
        <w:ind w:left="606" w:right="30" w:firstLine="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delle Nazioni Unite, l'unico accettato dall'UE e dalla comunità internazionale, e in linea  con il diritto, i valori e i principi dell'Unione; ricorda che la riunificazione di Cipro  rappresenta una priorità per l'UE, che è pronta a intensificare gli sforzi e ad assumere un  ruolo attivo nel sostenere il processo guidato dalle Nazioni Unite con tutti gli strumenti  a sua disposizione; invita la Turchia a partecipare in modo costruttivo ai negoziati e a  riavvicinarsi al tavolo negoziale in buona fede; </w:t>
      </w:r>
    </w:p>
    <w:p w:rsidR="00A95CCD" w:rsidRDefault="00B6332E">
      <w:pPr>
        <w:pStyle w:val="normal"/>
        <w:widowControl w:val="0"/>
        <w:pBdr>
          <w:top w:val="nil"/>
          <w:left w:val="nil"/>
          <w:bottom w:val="nil"/>
          <w:right w:val="nil"/>
          <w:between w:val="nil"/>
        </w:pBdr>
        <w:spacing w:before="246" w:line="229" w:lineRule="auto"/>
        <w:ind w:left="607"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102. chiede che l'UE svolga un ruolo di rilievo nel Mediterraneo e diventi un attore di  sicurezza in grado di garantire la stabilità della regione e il rispetto del diritto  internazionale e dell'UNCLOS; accoglie con favore, a tale riguardo, la nomina di una  commissaria per il Mediterraneo sotto la guida e la direzione politica della VP/AR;  sottolinea la necessità che la VP/AR, in cooperazione con la commissaria per il  Mediterraneo, ove necessario, e in consultazione con gli Stati membri, sviluppi una  strategia di sicurezza coerente per quanto riguarda la regione del Mediterraneo e i paesi  vicini, compresi il Nord Africa, il Levante e il Sahel; chiede una cooperazione rafforzata  con i paesi partner nel Mediterraneo per combattere l'estremismo, il terrorismo, il  commercio illecito di armi e la tratta di esseri umani; </w:t>
      </w:r>
    </w:p>
    <w:p w:rsidR="00A95CCD" w:rsidRDefault="00B6332E">
      <w:pPr>
        <w:pStyle w:val="normal"/>
        <w:widowControl w:val="0"/>
        <w:pBdr>
          <w:top w:val="nil"/>
          <w:left w:val="nil"/>
          <w:bottom w:val="nil"/>
          <w:right w:val="nil"/>
          <w:between w:val="nil"/>
        </w:pBdr>
        <w:spacing w:before="246" w:line="229" w:lineRule="auto"/>
        <w:ind w:left="602" w:right="7" w:hanging="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103. prende atto con preoccupazione delle violazioni dei diritti fondamentali dei migranti in  Libia, come evidenziato nella risoluzione 2755 (2024) del Consiglio di sicurezza delle  Nazioni Unite; sottolinea la necessità di esaminare il ruolo delle missioni e delle  </w:t>
      </w:r>
      <w:r>
        <w:rPr>
          <w:rFonts w:ascii="Times New Roman" w:eastAsia="Times New Roman" w:hAnsi="Times New Roman" w:cs="Times New Roman"/>
          <w:color w:val="000000"/>
          <w:sz w:val="24"/>
          <w:szCs w:val="24"/>
        </w:rPr>
        <w:lastRenderedPageBreak/>
        <w:t xml:space="preserve">operazioni PSDC – EUBAM Libia ed EUNAVFOR IRINI – nel contrastare  efficacemente il traffico e la tratta di esseri umani, come pure le loro attività in relazione  alla necessità di tutelare i diritti fondamentali dei migranti; </w:t>
      </w:r>
    </w:p>
    <w:p w:rsidR="00A95CCD" w:rsidRDefault="00B6332E">
      <w:pPr>
        <w:pStyle w:val="normal"/>
        <w:widowControl w:val="0"/>
        <w:pBdr>
          <w:top w:val="nil"/>
          <w:left w:val="nil"/>
          <w:bottom w:val="nil"/>
          <w:right w:val="nil"/>
          <w:between w:val="nil"/>
        </w:pBdr>
        <w:spacing w:before="246" w:line="229" w:lineRule="auto"/>
        <w:ind w:left="604" w:right="12"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104. rileva che il rapido crollo del regime criminale di </w:t>
      </w:r>
      <w:proofErr w:type="spellStart"/>
      <w:r>
        <w:rPr>
          <w:rFonts w:ascii="Times New Roman" w:eastAsia="Times New Roman" w:hAnsi="Times New Roman" w:cs="Times New Roman"/>
          <w:color w:val="000000"/>
          <w:sz w:val="24"/>
          <w:szCs w:val="24"/>
        </w:rPr>
        <w:t>Bashar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al-Assad</w:t>
      </w:r>
      <w:proofErr w:type="spellEnd"/>
      <w:r>
        <w:rPr>
          <w:rFonts w:ascii="Times New Roman" w:eastAsia="Times New Roman" w:hAnsi="Times New Roman" w:cs="Times New Roman"/>
          <w:color w:val="000000"/>
          <w:sz w:val="24"/>
          <w:szCs w:val="24"/>
        </w:rPr>
        <w:t xml:space="preserve"> in Siria, sostenuto dal  Cremlino dal 2015, costituisce una sconfitta politica significativa per Vladimir Putin e  minaccia la presenza strategica e militare della Russia in Siria; ricorda che, dal 2015, le  basi militari di </w:t>
      </w:r>
      <w:proofErr w:type="spellStart"/>
      <w:r>
        <w:rPr>
          <w:rFonts w:ascii="Times New Roman" w:eastAsia="Times New Roman" w:hAnsi="Times New Roman" w:cs="Times New Roman"/>
          <w:color w:val="000000"/>
          <w:sz w:val="24"/>
          <w:szCs w:val="24"/>
        </w:rPr>
        <w:t>Hmeimim</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Tartus</w:t>
      </w:r>
      <w:proofErr w:type="spellEnd"/>
      <w:r>
        <w:rPr>
          <w:rFonts w:ascii="Times New Roman" w:eastAsia="Times New Roman" w:hAnsi="Times New Roman" w:cs="Times New Roman"/>
          <w:color w:val="000000"/>
          <w:sz w:val="24"/>
          <w:szCs w:val="24"/>
        </w:rPr>
        <w:t xml:space="preserve"> fungono da punti chiave per la proiezione della  potenza russa in Medio Oriente e in Africa; osserva inoltre che le basi militari di  </w:t>
      </w:r>
      <w:proofErr w:type="spellStart"/>
      <w:r>
        <w:rPr>
          <w:rFonts w:ascii="Times New Roman" w:eastAsia="Times New Roman" w:hAnsi="Times New Roman" w:cs="Times New Roman"/>
          <w:color w:val="000000"/>
          <w:sz w:val="24"/>
          <w:szCs w:val="24"/>
        </w:rPr>
        <w:t>Hmeimim</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Tartus</w:t>
      </w:r>
      <w:proofErr w:type="spellEnd"/>
      <w:r>
        <w:rPr>
          <w:rFonts w:ascii="Times New Roman" w:eastAsia="Times New Roman" w:hAnsi="Times New Roman" w:cs="Times New Roman"/>
          <w:color w:val="000000"/>
          <w:sz w:val="24"/>
          <w:szCs w:val="24"/>
        </w:rPr>
        <w:t xml:space="preserve"> sono state essenziali per la fornitura e il trasporto di armi pesanti e  attrezzature destinate alle compagnie militari private russe, come il gruppo Wagner e le  sue operazioni in Libia, Mali, Repubblica centrafricana e Sudan; sottolinea che la  perdita delle basi militari in Siria potrebbe indebolire la capacità operativa della Russia  e la sua influenza in Africa; invita pertanto l'UE e i suoi Stati membri a monitorare  attentamente la situazione in Siria, a subordinare i legami con il nuovo regime siriano al  completo ritiro della Russia dal paese e a impedire alla Russia di creare nuove basi  militari altrove nella regione; riconosce, a tale proposito, la notevole influenza dell'UE  nei confronti della Siria in termini di riconoscimento politico, allentamento delle  sanzioni, accordi commerciali e sostegno finanziario per la ricostruzione, il che rende  l'UE un'alternativa alla Turchia nella definizione del futuro della Siria; </w:t>
      </w:r>
    </w:p>
    <w:p w:rsidR="00A95CCD" w:rsidRDefault="00B6332E">
      <w:pPr>
        <w:pStyle w:val="normal"/>
        <w:widowControl w:val="0"/>
        <w:pBdr>
          <w:top w:val="nil"/>
          <w:left w:val="nil"/>
          <w:bottom w:val="nil"/>
          <w:right w:val="nil"/>
          <w:between w:val="nil"/>
        </w:pBdr>
        <w:spacing w:before="246" w:line="229" w:lineRule="auto"/>
        <w:ind w:left="66" w:right="5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105. esprime crescente preoccupazione per i continui tentativi della Russia di destabilizzare i  paesi del vicinato orientale dell'UE attraverso il ricorso alla manipolazione delle </w:t>
      </w:r>
    </w:p>
    <w:p w:rsidR="00A95CCD" w:rsidRDefault="00B6332E">
      <w:pPr>
        <w:pStyle w:val="normal"/>
        <w:widowControl w:val="0"/>
        <w:pBdr>
          <w:top w:val="nil"/>
          <w:left w:val="nil"/>
          <w:bottom w:val="nil"/>
          <w:right w:val="nil"/>
          <w:between w:val="nil"/>
        </w:pBdr>
        <w:spacing w:line="229" w:lineRule="auto"/>
        <w:ind w:left="604" w:right="146"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informazioni e alle ingerenze da parte di attori stranieri, gli omicidi politici, le minacce  e le occupazioni territoriali, il cui obiettivo è incidere negativamente sulle loro  aspirazioni europee e sulla loro stabilità, e condanna tali azioni; sottolinea la necessità  di rafforzare la capacità dell'UE di difendere e consolidare società democratiche e  basate sui valori nei paesi del vicinato orientale dell'Unione; </w:t>
      </w:r>
    </w:p>
    <w:p w:rsidR="00A95CCD" w:rsidRDefault="00B6332E">
      <w:pPr>
        <w:pStyle w:val="normal"/>
        <w:widowControl w:val="0"/>
        <w:pBdr>
          <w:top w:val="nil"/>
          <w:left w:val="nil"/>
          <w:bottom w:val="nil"/>
          <w:right w:val="nil"/>
          <w:between w:val="nil"/>
        </w:pBdr>
        <w:spacing w:before="246" w:line="229" w:lineRule="auto"/>
        <w:ind w:left="604" w:right="46"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106. ribadisce l'impegno dell'UE a sostenere la sovranità e l'integrità territoriale della  Repubblica di Moldova all'interno dei suoi confini riconosciuti a livello internazionale,  come pure gli sforzi volti a pervenire a una soluzione politica pacifica, duratura e  globale al conflitto </w:t>
      </w:r>
      <w:proofErr w:type="spellStart"/>
      <w:r>
        <w:rPr>
          <w:rFonts w:ascii="Times New Roman" w:eastAsia="Times New Roman" w:hAnsi="Times New Roman" w:cs="Times New Roman"/>
          <w:color w:val="000000"/>
          <w:sz w:val="24"/>
          <w:szCs w:val="24"/>
        </w:rPr>
        <w:t>transnistriano</w:t>
      </w:r>
      <w:proofErr w:type="spellEnd"/>
      <w:r>
        <w:rPr>
          <w:rFonts w:ascii="Times New Roman" w:eastAsia="Times New Roman" w:hAnsi="Times New Roman" w:cs="Times New Roman"/>
          <w:color w:val="000000"/>
          <w:sz w:val="24"/>
          <w:szCs w:val="24"/>
        </w:rPr>
        <w:t>; condanna fermamente i tentativi continui e coordinati  da parte della Russia, degli oligarchi filorussi e di mandatari locali sponsorizzati dalla  Russia tesi a destabilizzare la Repubblica di Moldova, creare divisioni all'interno della  società moldova e indebolire la direzione europeista del paese attraverso attacchi ibridi,  la strumentalizzazione delle forniture energetiche a fini bellici, la disinformazione,  allarmi bomba e l'</w:t>
      </w:r>
      <w:proofErr w:type="spellStart"/>
      <w:r>
        <w:rPr>
          <w:rFonts w:ascii="Times New Roman" w:eastAsia="Times New Roman" w:hAnsi="Times New Roman" w:cs="Times New Roman"/>
          <w:color w:val="000000"/>
          <w:sz w:val="24"/>
          <w:szCs w:val="24"/>
        </w:rPr>
        <w:t>inscenamento</w:t>
      </w:r>
      <w:proofErr w:type="spellEnd"/>
      <w:r>
        <w:rPr>
          <w:rFonts w:ascii="Times New Roman" w:eastAsia="Times New Roman" w:hAnsi="Times New Roman" w:cs="Times New Roman"/>
          <w:color w:val="000000"/>
          <w:sz w:val="24"/>
          <w:szCs w:val="24"/>
        </w:rPr>
        <w:t xml:space="preserve"> di proteste, nonché la minaccia o l'uso della violenza;  osserva con preoccupazione che il servizio di sicurezza e intelligence della Repubblica  di Moldova ha segnalato che le azioni della Russia volte a trattenere la Moldova nella  sua sfera di influenza si sono intensificate fino a raggiungere un livello senza  precedenti; sottolinea che tale minaccia ibrida attacca i processi democratici e  compromette l'integrazione europea, ad esempio mediante l'amplificazione delle  tendenze separatiste radicali nel Sud del paese, in particolare nella </w:t>
      </w:r>
      <w:proofErr w:type="spellStart"/>
      <w:r>
        <w:rPr>
          <w:rFonts w:ascii="Times New Roman" w:eastAsia="Times New Roman" w:hAnsi="Times New Roman" w:cs="Times New Roman"/>
          <w:color w:val="000000"/>
          <w:sz w:val="24"/>
          <w:szCs w:val="24"/>
        </w:rPr>
        <w:t>Gagauzia</w:t>
      </w:r>
      <w:proofErr w:type="spellEnd"/>
      <w:r>
        <w:rPr>
          <w:rFonts w:ascii="Times New Roman" w:eastAsia="Times New Roman" w:hAnsi="Times New Roman" w:cs="Times New Roman"/>
          <w:color w:val="000000"/>
          <w:sz w:val="24"/>
          <w:szCs w:val="24"/>
        </w:rPr>
        <w:t xml:space="preserve">, l'utilizzo  della propaganda, la manipolazione dello spazio dell'informazione, l'ingerenza nel  processo elettorale e lo svolgimento di operazioni sovversive; </w:t>
      </w:r>
    </w:p>
    <w:p w:rsidR="00A95CCD" w:rsidRDefault="00B6332E">
      <w:pPr>
        <w:pStyle w:val="normal"/>
        <w:widowControl w:val="0"/>
        <w:pBdr>
          <w:top w:val="nil"/>
          <w:left w:val="nil"/>
          <w:bottom w:val="nil"/>
          <w:right w:val="nil"/>
          <w:between w:val="nil"/>
        </w:pBdr>
        <w:spacing w:before="246" w:line="229" w:lineRule="auto"/>
        <w:ind w:left="607" w:right="193"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107. ribadisce i suoi inviti alla Russia a ritirare le sue forze e attrezzature militari dal  territorio della Repubblica di Moldova, a garantire la completa distruzione di tutte le  munizioni e attrezzature stoccate nel deposito di </w:t>
      </w:r>
      <w:proofErr w:type="spellStart"/>
      <w:r>
        <w:rPr>
          <w:rFonts w:ascii="Times New Roman" w:eastAsia="Times New Roman" w:hAnsi="Times New Roman" w:cs="Times New Roman"/>
          <w:color w:val="000000"/>
          <w:sz w:val="24"/>
          <w:szCs w:val="24"/>
        </w:rPr>
        <w:t>Cobasna</w:t>
      </w:r>
      <w:proofErr w:type="spellEnd"/>
      <w:r>
        <w:rPr>
          <w:rFonts w:ascii="Times New Roman" w:eastAsia="Times New Roman" w:hAnsi="Times New Roman" w:cs="Times New Roman"/>
          <w:color w:val="000000"/>
          <w:sz w:val="24"/>
          <w:szCs w:val="24"/>
        </w:rPr>
        <w:t xml:space="preserve"> sotto supervisione  internazionale e a sostenere una soluzione pacifica al conflitto </w:t>
      </w:r>
      <w:proofErr w:type="spellStart"/>
      <w:r>
        <w:rPr>
          <w:rFonts w:ascii="Times New Roman" w:eastAsia="Times New Roman" w:hAnsi="Times New Roman" w:cs="Times New Roman"/>
          <w:color w:val="000000"/>
          <w:sz w:val="24"/>
          <w:szCs w:val="24"/>
        </w:rPr>
        <w:t>transnistriano</w:t>
      </w:r>
      <w:proofErr w:type="spellEnd"/>
      <w:r>
        <w:rPr>
          <w:rFonts w:ascii="Times New Roman" w:eastAsia="Times New Roman" w:hAnsi="Times New Roman" w:cs="Times New Roman"/>
          <w:color w:val="000000"/>
          <w:sz w:val="24"/>
          <w:szCs w:val="24"/>
        </w:rPr>
        <w:t xml:space="preserve">, in linea  con i principi del diritto internazionale; chiede un maggiore sostegno dell'UE alla  Moldova nella lotta alla manipolazione delle informazioni e alle ingerenze da parte di  attori stranieri, alle minacce ibride e agli attacchi informatici; esorta gli Stati membri a  </w:t>
      </w:r>
      <w:r>
        <w:rPr>
          <w:rFonts w:ascii="Times New Roman" w:eastAsia="Times New Roman" w:hAnsi="Times New Roman" w:cs="Times New Roman"/>
          <w:color w:val="000000"/>
          <w:sz w:val="24"/>
          <w:szCs w:val="24"/>
        </w:rPr>
        <w:lastRenderedPageBreak/>
        <w:t xml:space="preserve">stanziare maggiori finanziamenti per l'EPF al fine di rafforzare le capacità di difesa  della Moldova; </w:t>
      </w:r>
    </w:p>
    <w:p w:rsidR="00A95CCD" w:rsidRDefault="00B6332E">
      <w:pPr>
        <w:pStyle w:val="normal"/>
        <w:widowControl w:val="0"/>
        <w:pBdr>
          <w:top w:val="nil"/>
          <w:left w:val="nil"/>
          <w:bottom w:val="nil"/>
          <w:right w:val="nil"/>
          <w:between w:val="nil"/>
        </w:pBdr>
        <w:spacing w:before="246" w:line="229" w:lineRule="auto"/>
        <w:ind w:left="605" w:right="22" w:hanging="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108. riconosce che la Georgia è stata il primo obiettivo, nel 2008, dell'aggressione militare su  larga scala della Russia e dei suoi tentativi di ridisegnare con la forza i confini di uno  Stato sovrano in Europa; sottolinea che dal 2008 la Russia continua a esercitare la sua  occupazione illegale e il suo controllo effettivo sulle regioni occupate della Georgia;  evidenzia che la presenza militare e il significativo rafforzamento militare della Russia  nelle regioni occupate, le sue attività illegali, le continue attività di delimitazione dei  confini lungo la linea di demarcazione amministrativa e le sue violazioni dei diritti  umani in Georgia rappresentano un grave rischio per la sicurezza del paese e per il più  ampio quadro di sicurezza dell'Europa; ribadisce il suo invito affinché la Russia ritiri  tutte le sue forze e attrezzature militari dal territorio della Georgia;  </w:t>
      </w:r>
    </w:p>
    <w:p w:rsidR="00A95CCD" w:rsidRDefault="00B6332E">
      <w:pPr>
        <w:pStyle w:val="normal"/>
        <w:widowControl w:val="0"/>
        <w:pBdr>
          <w:top w:val="nil"/>
          <w:left w:val="nil"/>
          <w:bottom w:val="nil"/>
          <w:right w:val="nil"/>
          <w:between w:val="nil"/>
        </w:pBdr>
        <w:spacing w:before="246" w:line="229" w:lineRule="auto"/>
        <w:ind w:left="604" w:right="160" w:hanging="538"/>
        <w:rPr>
          <w:rFonts w:ascii="Times New Roman" w:eastAsia="Times New Roman" w:hAnsi="Times New Roman" w:cs="Times New Roman"/>
          <w:color w:val="1F1F1F"/>
          <w:sz w:val="24"/>
          <w:szCs w:val="24"/>
        </w:rPr>
      </w:pPr>
      <w:r>
        <w:rPr>
          <w:rFonts w:ascii="Times New Roman" w:eastAsia="Times New Roman" w:hAnsi="Times New Roman" w:cs="Times New Roman"/>
          <w:color w:val="000000"/>
          <w:sz w:val="24"/>
          <w:szCs w:val="24"/>
        </w:rPr>
        <w:t xml:space="preserve">109. condanna fermamente l'abbattimento, da parte della Russia, del volo 8243 della  </w:t>
      </w:r>
      <w:proofErr w:type="spellStart"/>
      <w:r>
        <w:rPr>
          <w:rFonts w:ascii="Times New Roman" w:eastAsia="Times New Roman" w:hAnsi="Times New Roman" w:cs="Times New Roman"/>
          <w:color w:val="000000"/>
          <w:sz w:val="24"/>
          <w:szCs w:val="24"/>
        </w:rPr>
        <w:t>Azerbaijan</w:t>
      </w:r>
      <w:proofErr w:type="spellEnd"/>
      <w:r>
        <w:rPr>
          <w:rFonts w:ascii="Times New Roman" w:eastAsia="Times New Roman" w:hAnsi="Times New Roman" w:cs="Times New Roman"/>
          <w:color w:val="000000"/>
          <w:sz w:val="24"/>
          <w:szCs w:val="24"/>
        </w:rPr>
        <w:t xml:space="preserve"> Airlines il 25 dicembre 2024, </w:t>
      </w:r>
      <w:r>
        <w:rPr>
          <w:rFonts w:ascii="Times New Roman" w:eastAsia="Times New Roman" w:hAnsi="Times New Roman" w:cs="Times New Roman"/>
          <w:color w:val="1F1F1F"/>
          <w:sz w:val="24"/>
          <w:szCs w:val="24"/>
          <w:highlight w:val="white"/>
        </w:rPr>
        <w:t xml:space="preserve">che ha provocato la morte di 38 dei 67 </w:t>
      </w:r>
      <w:r>
        <w:rPr>
          <w:rFonts w:ascii="Times New Roman" w:eastAsia="Times New Roman" w:hAnsi="Times New Roman" w:cs="Times New Roman"/>
          <w:color w:val="1F1F1F"/>
          <w:sz w:val="24"/>
          <w:szCs w:val="24"/>
        </w:rPr>
        <w:t xml:space="preserve"> p</w:t>
      </w:r>
      <w:r>
        <w:rPr>
          <w:rFonts w:ascii="Times New Roman" w:eastAsia="Times New Roman" w:hAnsi="Times New Roman" w:cs="Times New Roman"/>
          <w:color w:val="1F1F1F"/>
          <w:sz w:val="24"/>
          <w:szCs w:val="24"/>
          <w:highlight w:val="white"/>
        </w:rPr>
        <w:t>asseggeri a bordo; sottolinea che ciò mette ancora una volta in luce la natura brutale e</w:t>
      </w:r>
      <w:r>
        <w:rPr>
          <w:rFonts w:ascii="Times New Roman" w:eastAsia="Times New Roman" w:hAnsi="Times New Roman" w:cs="Times New Roman"/>
          <w:color w:val="1F1F1F"/>
          <w:sz w:val="24"/>
          <w:szCs w:val="24"/>
        </w:rPr>
        <w:t xml:space="preserve">  b</w:t>
      </w:r>
      <w:r>
        <w:rPr>
          <w:rFonts w:ascii="Times New Roman" w:eastAsia="Times New Roman" w:hAnsi="Times New Roman" w:cs="Times New Roman"/>
          <w:color w:val="1F1F1F"/>
          <w:sz w:val="24"/>
          <w:szCs w:val="24"/>
          <w:highlight w:val="white"/>
        </w:rPr>
        <w:t>elligerante del regime russo;</w:t>
      </w:r>
      <w:r>
        <w:rPr>
          <w:rFonts w:ascii="Times New Roman" w:eastAsia="Times New Roman" w:hAnsi="Times New Roman" w:cs="Times New Roman"/>
          <w:color w:val="1F1F1F"/>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13" w:right="119"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110. esorta l'UE a continuare a impegnarsi attivamente e ad adottare misure decisive,  attraverso i suoi importanti strumenti, per garantire che la Russia adempia agli obblighi </w:t>
      </w:r>
    </w:p>
    <w:p w:rsidR="00A95CCD" w:rsidRDefault="00B6332E">
      <w:pPr>
        <w:pStyle w:val="normal"/>
        <w:widowControl w:val="0"/>
        <w:pBdr>
          <w:top w:val="nil"/>
          <w:left w:val="nil"/>
          <w:bottom w:val="nil"/>
          <w:right w:val="nil"/>
          <w:between w:val="nil"/>
        </w:pBdr>
        <w:spacing w:line="229" w:lineRule="auto"/>
        <w:ind w:left="604"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previsti dall'accordo di cessate il fuoco del 12 agosto 2008 mediato dall'UE, in  particolare agli obblighi di ritirare tutte le sue forze militari dai territori occupati dalla  Georgia, di consentire il dispiegamento di meccanismi di sicurezza internazionali  all'interno di entrambe le regioni georgiane e l'accesso senza ostacoli della missione di  vigilanza dell'UE all'intero territorio della Georgia, impegnandosi in modo costruttivo  nelle discussioni internazionali di Ginevra e nei meccanismi di prevenzione e di risposta  agli incidenti; invita il SEAE a preparare una relazione approfondita sulle violazioni  dell'accordo di cessate il fuoco del 12 agosto 2008, a identificare e comunicare  chiaramente le disposizioni che non sono ancora state rispettate dalla Russia e a  presentare raccomandazioni; </w:t>
      </w:r>
    </w:p>
    <w:p w:rsidR="00A95CCD" w:rsidRDefault="00B6332E">
      <w:pPr>
        <w:pStyle w:val="normal"/>
        <w:widowControl w:val="0"/>
        <w:pBdr>
          <w:top w:val="nil"/>
          <w:left w:val="nil"/>
          <w:bottom w:val="nil"/>
          <w:right w:val="nil"/>
          <w:between w:val="nil"/>
        </w:pBdr>
        <w:spacing w:before="246" w:line="229" w:lineRule="auto"/>
        <w:ind w:left="607" w:right="254"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accoglie con favore la recente notizia della conclusione positiva dei negoziati tra  Armenia e Azerbaigian sul testo integrale del progetto di accordo sulla pace e  l'istituzione di relazioni interstatali, elogia l'Armenia per aver spianato la strada alla  finalizzazione del testo ed esorta i dirigenti azeri a firmare e ad attuare, in buona fede,  l'accordo di pace quale concluso in sede negoziale; </w:t>
      </w:r>
    </w:p>
    <w:p w:rsidR="00A95CCD" w:rsidRDefault="00B6332E">
      <w:pPr>
        <w:pStyle w:val="normal"/>
        <w:widowControl w:val="0"/>
        <w:pBdr>
          <w:top w:val="nil"/>
          <w:left w:val="nil"/>
          <w:bottom w:val="nil"/>
          <w:right w:val="nil"/>
          <w:between w:val="nil"/>
        </w:pBdr>
        <w:spacing w:before="246" w:line="229" w:lineRule="auto"/>
        <w:ind w:left="606" w:right="14"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112. condanna l'Azerbaigian per i costanti sforzi volti a indebolire le possibilità di pace nella  regione e per le continue minacce contro l'Armenia; invita l'UE e i suoi Stati membri a  sospendere qualsiasi assistenza tecnica, finanziaria o di sicurezza all'Azerbaigian, anche  attraverso vari strumenti dell'UE, che potrebbe contribuire all'aumento delle capacità  offensive dell'Azerbaigian o mettere a repentaglio la sicurezza, l'integrità territoriale e la  sovranità dell'Armenia; </w:t>
      </w:r>
    </w:p>
    <w:p w:rsidR="00A95CCD" w:rsidRDefault="00B6332E">
      <w:pPr>
        <w:pStyle w:val="normal"/>
        <w:widowControl w:val="0"/>
        <w:pBdr>
          <w:top w:val="nil"/>
          <w:left w:val="nil"/>
          <w:bottom w:val="nil"/>
          <w:right w:val="nil"/>
          <w:between w:val="nil"/>
        </w:pBdr>
        <w:spacing w:before="246" w:line="229" w:lineRule="auto"/>
        <w:ind w:left="604" w:right="1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113. ricorda che è trascorso un anno dalla presa del </w:t>
      </w:r>
      <w:proofErr w:type="spellStart"/>
      <w:r>
        <w:rPr>
          <w:rFonts w:ascii="Times New Roman" w:eastAsia="Times New Roman" w:hAnsi="Times New Roman" w:cs="Times New Roman"/>
          <w:color w:val="000000"/>
          <w:sz w:val="24"/>
          <w:szCs w:val="24"/>
        </w:rPr>
        <w:t>Nagorno-Karabakh</w:t>
      </w:r>
      <w:proofErr w:type="spellEnd"/>
      <w:r>
        <w:rPr>
          <w:rFonts w:ascii="Times New Roman" w:eastAsia="Times New Roman" w:hAnsi="Times New Roman" w:cs="Times New Roman"/>
          <w:color w:val="000000"/>
          <w:sz w:val="24"/>
          <w:szCs w:val="24"/>
        </w:rPr>
        <w:t xml:space="preserve"> da parte  dell'Azerbaigian, che ha comportato lo sfollamento forzato di oltre 140 000 </w:t>
      </w:r>
      <w:proofErr w:type="spellStart"/>
      <w:r>
        <w:rPr>
          <w:rFonts w:ascii="Times New Roman" w:eastAsia="Times New Roman" w:hAnsi="Times New Roman" w:cs="Times New Roman"/>
          <w:color w:val="000000"/>
          <w:sz w:val="24"/>
          <w:szCs w:val="24"/>
        </w:rPr>
        <w:t>armeni</w:t>
      </w:r>
      <w:proofErr w:type="spellEnd"/>
      <w:r>
        <w:rPr>
          <w:rFonts w:ascii="Times New Roman" w:eastAsia="Times New Roman" w:hAnsi="Times New Roman" w:cs="Times New Roman"/>
          <w:color w:val="000000"/>
          <w:sz w:val="24"/>
          <w:szCs w:val="24"/>
        </w:rPr>
        <w:t xml:space="preserve"> dalla  regione; condanna il sostegno militare e la fornitura di armi all'Azerbaigian da parte di  paesi terzi; sottolinea che l'Azerbaigian si è reso colpevole di gravi violazioni dei diritti  umani nel </w:t>
      </w:r>
      <w:proofErr w:type="spellStart"/>
      <w:r>
        <w:rPr>
          <w:rFonts w:ascii="Times New Roman" w:eastAsia="Times New Roman" w:hAnsi="Times New Roman" w:cs="Times New Roman"/>
          <w:color w:val="000000"/>
          <w:sz w:val="24"/>
          <w:szCs w:val="24"/>
        </w:rPr>
        <w:t>Nagorno-Karabakh</w:t>
      </w:r>
      <w:proofErr w:type="spellEnd"/>
      <w:r>
        <w:rPr>
          <w:rFonts w:ascii="Times New Roman" w:eastAsia="Times New Roman" w:hAnsi="Times New Roman" w:cs="Times New Roman"/>
          <w:color w:val="000000"/>
          <w:sz w:val="24"/>
          <w:szCs w:val="24"/>
        </w:rPr>
        <w:t xml:space="preserve">; condanna la distruzione del patrimonio culturale armeno  nella regione da parte dell'Azerbaigian; chiede il rilascio di tutti e 23 gli ostaggi </w:t>
      </w:r>
      <w:proofErr w:type="spellStart"/>
      <w:r>
        <w:rPr>
          <w:rFonts w:ascii="Times New Roman" w:eastAsia="Times New Roman" w:hAnsi="Times New Roman" w:cs="Times New Roman"/>
          <w:color w:val="000000"/>
          <w:sz w:val="24"/>
          <w:szCs w:val="24"/>
        </w:rPr>
        <w:t>armeni</w:t>
      </w:r>
      <w:proofErr w:type="spellEnd"/>
      <w:r>
        <w:rPr>
          <w:rFonts w:ascii="Times New Roman" w:eastAsia="Times New Roman" w:hAnsi="Times New Roman" w:cs="Times New Roman"/>
          <w:color w:val="000000"/>
          <w:sz w:val="24"/>
          <w:szCs w:val="24"/>
        </w:rPr>
        <w:t xml:space="preserve">  detenuti in Azerbaigian, fra cui ex funzionari de facto del </w:t>
      </w:r>
      <w:proofErr w:type="spellStart"/>
      <w:r>
        <w:rPr>
          <w:rFonts w:ascii="Times New Roman" w:eastAsia="Times New Roman" w:hAnsi="Times New Roman" w:cs="Times New Roman"/>
          <w:color w:val="000000"/>
          <w:sz w:val="24"/>
          <w:szCs w:val="24"/>
        </w:rPr>
        <w:t>Nagorno-Karabakh</w:t>
      </w:r>
      <w:proofErr w:type="spellEnd"/>
      <w:r>
        <w:rPr>
          <w:rFonts w:ascii="Times New Roman" w:eastAsia="Times New Roman" w:hAnsi="Times New Roman" w:cs="Times New Roman"/>
          <w:color w:val="000000"/>
          <w:sz w:val="24"/>
          <w:szCs w:val="24"/>
        </w:rPr>
        <w:t xml:space="preserve"> e  prigionieri di guerra catturati nella guerra del 2020; invita il Consiglio a considerare la  possibilità di imporre sanzioni mirate e individuali nei confronti dei </w:t>
      </w:r>
      <w:r>
        <w:rPr>
          <w:rFonts w:ascii="Times New Roman" w:eastAsia="Times New Roman" w:hAnsi="Times New Roman" w:cs="Times New Roman"/>
          <w:color w:val="000000"/>
          <w:sz w:val="24"/>
          <w:szCs w:val="24"/>
          <w:highlight w:val="white"/>
        </w:rPr>
        <w:t xml:space="preserve">responsabili di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lastRenderedPageBreak/>
        <w:t xml:space="preserve">violazioni del cessate il fuoco e violazioni dei diritti umani nel </w:t>
      </w:r>
      <w:proofErr w:type="spellStart"/>
      <w:r>
        <w:rPr>
          <w:rFonts w:ascii="Times New Roman" w:eastAsia="Times New Roman" w:hAnsi="Times New Roman" w:cs="Times New Roman"/>
          <w:color w:val="000000"/>
          <w:sz w:val="24"/>
          <w:szCs w:val="24"/>
          <w:highlight w:val="white"/>
        </w:rPr>
        <w:t>Nagorno-Karabakh</w:t>
      </w:r>
      <w:proofErr w:type="spellEnd"/>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46" w:line="229" w:lineRule="auto"/>
        <w:ind w:left="606" w:right="68"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114. apprezza la decisione di adottare la prima misura di assistenza nell'ambito dell'EPF a  sostegno delle forze armate armene, in quanto ciò rafforzerebbe la resilienza  dell'Armenia nel garantire sicurezza, indipendenza e sovranità; chiede un ulteriore  rafforzamento della cooperazione tra l'Armenia e l'UE nel settore della sicurezza e della  difesa, in particolare nel settore dello sminamento, anche attraverso l'uso dell'EPF,  tenendo conto del riesame, da parte dell'Armenia, della sua adesione all'Organizzazione  del trattato di sicurezza collettiva; accoglie con favore le azioni intraprese da diversi  Stati membri per fornire sostegno militare difensivo all'Armenia ed esorta gli altri Stati  membri a prendere in considerazione iniziative analoghe; </w:t>
      </w:r>
    </w:p>
    <w:p w:rsidR="00A95CCD" w:rsidRDefault="00B6332E">
      <w:pPr>
        <w:pStyle w:val="normal"/>
        <w:widowControl w:val="0"/>
        <w:pBdr>
          <w:top w:val="nil"/>
          <w:left w:val="nil"/>
          <w:bottom w:val="nil"/>
          <w:right w:val="nil"/>
          <w:between w:val="nil"/>
        </w:pBdr>
        <w:spacing w:before="246" w:line="229" w:lineRule="auto"/>
        <w:ind w:left="606" w:right="120"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115. sottolinea che l'UE dovrebbe rivedere urgentemente la sua strategia regionale per il  Sahel, a seguito dei vari colpi di Stato nella regione; deplora vivamente la partenza  forzata delle truppe francesi e delle forze di mantenimento della pace delle Nazioni  Unite dalla regione e condanna la presenza, al loro posto, di società militari private e di  </w:t>
      </w:r>
    </w:p>
    <w:p w:rsidR="00A95CCD" w:rsidRDefault="00B6332E">
      <w:pPr>
        <w:pStyle w:val="normal"/>
        <w:widowControl w:val="0"/>
        <w:pBdr>
          <w:top w:val="nil"/>
          <w:left w:val="nil"/>
          <w:bottom w:val="nil"/>
          <w:right w:val="nil"/>
          <w:between w:val="nil"/>
        </w:pBdr>
        <w:spacing w:before="6" w:line="229" w:lineRule="auto"/>
        <w:ind w:left="616" w:right="253"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forze ausiliarie sponsorizzate dallo Stato come il Corpo africano (ex gruppo Wagner);  sottolinea che tali società militari private hanno svolto un ruolo destabilizzante nel  Sahel e hanno sostenuto vari regimi repressivi nel tentativo di rafforzare l'influenza </w:t>
      </w:r>
    </w:p>
    <w:p w:rsidR="00A95CCD" w:rsidRDefault="00B6332E">
      <w:pPr>
        <w:pStyle w:val="normal"/>
        <w:widowControl w:val="0"/>
        <w:pBdr>
          <w:top w:val="nil"/>
          <w:left w:val="nil"/>
          <w:bottom w:val="nil"/>
          <w:right w:val="nil"/>
          <w:between w:val="nil"/>
        </w:pBdr>
        <w:spacing w:line="229" w:lineRule="auto"/>
        <w:ind w:left="604" w:right="21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russa in Africa; richiama l'attenzione sulla fornitura di armi da parte della Russia ai  regimi militari del Sahel; osserva inoltre che altri attori, come la Turchia, sono sempre  più presenti nella regione; esorta il rappresentante speciale dell'UE per il Sahel e gli  Stati membri a mantenere l'impegno diplomatico e a continuare a sostenere la società  civile e a erogare fondi per lo sviluppo e gli aiuti umanitari; </w:t>
      </w:r>
    </w:p>
    <w:p w:rsidR="00A95CCD" w:rsidRDefault="00B6332E">
      <w:pPr>
        <w:pStyle w:val="normal"/>
        <w:widowControl w:val="0"/>
        <w:pBdr>
          <w:top w:val="nil"/>
          <w:left w:val="nil"/>
          <w:bottom w:val="nil"/>
          <w:right w:val="nil"/>
          <w:between w:val="nil"/>
        </w:pBdr>
        <w:spacing w:before="246" w:line="229" w:lineRule="auto"/>
        <w:ind w:left="606" w:right="4"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116. esprime preoccupazione per la mancanza di coerenza nella risposta dell'UE alle crisi  della regione dei Grandi Laghi e invita il Consiglio a riesaminare la strategia rinnovata  dell'UE per i Grandi Laghi, adottata il 20 febbraio 2023; riconosce l'importanza di un  reale impegno dell'UE a favore della pace nella regione; prende atto con preoccupazione  del ruolo svolto dal Ruanda nella parte orientale della Repubblica democratica del  Congo (RDC) e invita l'UE a imporre condizioni per un eventuale sostegno militare al  Ruanda; condanna fermamente la confisca, da parte dell'M23, di territori nella parte  orientale della RDC, comprese le capitali regionali di </w:t>
      </w:r>
      <w:proofErr w:type="spellStart"/>
      <w:r>
        <w:rPr>
          <w:rFonts w:ascii="Times New Roman" w:eastAsia="Times New Roman" w:hAnsi="Times New Roman" w:cs="Times New Roman"/>
          <w:color w:val="000000"/>
          <w:sz w:val="24"/>
          <w:szCs w:val="24"/>
        </w:rPr>
        <w:t>Goma</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Bukavu</w:t>
      </w:r>
      <w:proofErr w:type="spellEnd"/>
      <w:r>
        <w:rPr>
          <w:rFonts w:ascii="Times New Roman" w:eastAsia="Times New Roman" w:hAnsi="Times New Roman" w:cs="Times New Roman"/>
          <w:color w:val="000000"/>
          <w:sz w:val="24"/>
          <w:szCs w:val="24"/>
        </w:rPr>
        <w:t xml:space="preserve">, che ha causato  direttamente la morte di circa 3 000 civili; condanna altresì le violazioni della sovranità  e dell'integrità territoriale della parte orientale della RDC da parte dei ribelli dell'M23;  esprime profonda preoccupazione per la situazione umanitaria di milioni di sfollati nella  zona e per il ricorso allo stupro come arma di guerra strategica; esorta la VP/AR a  intraprendere azioni chiare in linea con la strategia dell'UE per i Grandi Laghi al fine di  ripristinare la stabilità e a cooperare con la missione delle Nazioni Unite per la  stabilizzazione della RDC (MONUSCO) per proteggere i civili nella parte orientale  della RDC; sollecita il governo ruandese a ritirare le sue truppe dal territorio della RDC  e a cessare la cooperazione con i ribelli dell'M23, ivi compresa la fornitura di armi e  truppe e supporto logistico; invita l'UE a sospendere il suo memorandum d'intesa sulle  materie prime e ogni cooperazione militare con il Ruanda, anche attraverso l'EPF e  qualsiasi altro meccanismo, fino a quando il Ruanda non smetterà di sostenere  illegalmente i gruppi armati e non rispetterà pienamente la sovranità e l'integrità  territoriale della RDC; invita parallelamente la RDC a cessare la cooperazione con i  gruppi ribelli nella regione; sostiene il processo di pace di Luanda e Nairobi per  giungere a una soluzione politica del conflitto con mezzi diplomatici ed esorta la  VP/AR a proseguire la sensibilizzazione diplomatica delle parti coinvolte nel conflitto e  di altre parti nella regione, nonché ad aumentare la pressione sulle parti affinché  riavviino negoziati pacifici, anche rinviando le consultazioni dell'UE in materia di  sicurezza e difesa con il Ruanda e adottando sanzioni, in funzione della situazione sul  campo e dei progressi compiuti nei processi di mediazione regionale in corso; </w:t>
      </w:r>
    </w:p>
    <w:p w:rsidR="00A95CCD" w:rsidRDefault="00B6332E">
      <w:pPr>
        <w:pStyle w:val="normal"/>
        <w:widowControl w:val="0"/>
        <w:pBdr>
          <w:top w:val="nil"/>
          <w:left w:val="nil"/>
          <w:bottom w:val="nil"/>
          <w:right w:val="nil"/>
          <w:between w:val="nil"/>
        </w:pBdr>
        <w:spacing w:before="246" w:line="229" w:lineRule="auto"/>
        <w:ind w:left="606" w:right="4"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117. esprime delusione dinanzi alla sospensione delle attività dell'Agenzia statunitense per lo  sviluppo internazionale (USAID) e sottolinea che ciò aumenta in misura significativa le  sfide in materia di sicurezza e difesa, dal momento che gli investimenti critici nella  resilienza, nell'adattamento, nella prevenzione dei conflitti e nella costruzione della pace  sono stati ormai ridotti; invita pertanto l'UE e i suoi partner internazionali a garantire  che il vuoto lasciato non sia utilizzato dai nostri avversari riflettendo strategicamente su  come rilevare determinati programmi rimasti privi di finanziamenti a seguito delle  azioni del governo statunitense; </w:t>
      </w:r>
    </w:p>
    <w:p w:rsidR="00A95CCD" w:rsidRDefault="00B6332E">
      <w:pPr>
        <w:pStyle w:val="normal"/>
        <w:widowControl w:val="0"/>
        <w:pBdr>
          <w:top w:val="nil"/>
          <w:left w:val="nil"/>
          <w:bottom w:val="nil"/>
          <w:right w:val="nil"/>
          <w:between w:val="nil"/>
        </w:pBdr>
        <w:spacing w:before="246" w:line="229" w:lineRule="auto"/>
        <w:ind w:left="606" w:right="18"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 esprime preoccupazione per il ruolo limitato svolto dall'UE nel Corno d'Africa, mentre  il coinvolgimento di altri attori stranieri è in aumento; chiede una revisione della  strategia dell'UE nella regione, al fine di conseguire gli obiettivi dell'UE di promuovere  la pace, la stabilità e uno sviluppo economico inclusivo e sostenibile nella regione;  invita il Consiglio, la Commissione e il SEAE a riflettere su come utilizzare al meglio le  missioni e le operazioni PSDC dispiegate nella regione per promuovere tali obiettivi e  rafforzare le attività dell'UE;</w:t>
      </w:r>
    </w:p>
    <w:p w:rsidR="00A95CCD" w:rsidRDefault="00B6332E">
      <w:pPr>
        <w:pStyle w:val="normal"/>
        <w:widowControl w:val="0"/>
        <w:pBdr>
          <w:top w:val="nil"/>
          <w:left w:val="nil"/>
          <w:bottom w:val="nil"/>
          <w:right w:val="nil"/>
          <w:between w:val="nil"/>
        </w:pBdr>
        <w:spacing w:line="229" w:lineRule="auto"/>
        <w:ind w:left="612" w:right="20" w:hanging="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119. riconosce che la regione artica riveste una notevole importanza strategica e geopolitica  grazie alle sue rotte marittime emergenti, alla ricchezza di risorse naturali e alle  opportunità di sviluppo economico emerse dal riscaldamento globale, pur essendo  sempre più contesa; è allarmato per l'intensificarsi della militarizzazione e della  concorrenza per le risorse alimentate dalle attività russe e cinesi nella regione; condanna  fermamente le ripetute dichiarazioni del Presidente degli Stati Uniti riguardo al suo  obiettivo di un'acquisizione della Groenlandia da parte degli Stati Uniti; </w:t>
      </w:r>
    </w:p>
    <w:p w:rsidR="00A95CCD" w:rsidRDefault="00B6332E">
      <w:pPr>
        <w:pStyle w:val="normal"/>
        <w:widowControl w:val="0"/>
        <w:pBdr>
          <w:top w:val="nil"/>
          <w:left w:val="nil"/>
          <w:bottom w:val="nil"/>
          <w:right w:val="nil"/>
          <w:between w:val="nil"/>
        </w:pBdr>
        <w:spacing w:before="246" w:line="229" w:lineRule="auto"/>
        <w:ind w:left="602" w:right="106" w:hanging="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120. sottolinea l'importanza di preservare la sicurezza, la stabilità e la cooperazione  nell'Artico; evidenzia che la regione deve rimanere libera da tensioni militari e dallo  sfruttamento delle risorse naturali e che i diritti delle popolazioni indigene devono  essere rispettati; ribadisce la necessità di includere la politica artica dell'Unione nella  PSDC e di rafforzare le capacità di deterrenza e difesa in stretto coordinamento con la  NATO; sottolinea che la cooperazione UE-NATO è essenziale per contrastare la  crescente influenza della Russia e della Cina nella regione; chiede che le questioni  d'interesse per l'Artico siano incluse periodicamente nelle riunioni del comitato politico  e di sicurezza e del Consiglio;  </w:t>
      </w:r>
    </w:p>
    <w:p w:rsidR="00A95CCD" w:rsidRDefault="00B6332E">
      <w:pPr>
        <w:pStyle w:val="normal"/>
        <w:widowControl w:val="0"/>
        <w:pBdr>
          <w:top w:val="nil"/>
          <w:left w:val="nil"/>
          <w:bottom w:val="nil"/>
          <w:right w:val="nil"/>
          <w:between w:val="nil"/>
        </w:pBdr>
        <w:spacing w:before="246" w:line="240" w:lineRule="auto"/>
        <w:ind w:left="31"/>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Dimensione di genere e ruolo delle donne nella pace e nella sicurezza </w:t>
      </w:r>
    </w:p>
    <w:p w:rsidR="00A95CCD" w:rsidRDefault="00B6332E">
      <w:pPr>
        <w:pStyle w:val="normal"/>
        <w:widowControl w:val="0"/>
        <w:pBdr>
          <w:top w:val="nil"/>
          <w:left w:val="nil"/>
          <w:bottom w:val="nil"/>
          <w:right w:val="nil"/>
          <w:between w:val="nil"/>
        </w:pBdr>
        <w:spacing w:before="277" w:line="229" w:lineRule="auto"/>
        <w:ind w:left="606" w:right="87"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sottolinea l'impatto sproporzionato e unico dei conflitti armati su donne e ragazze,  soprattutto in termini di violenza sessuale legata ai conflitti; evidenzia la necessità  imperativa di garantire la fornitura e l'accessibilità di un'adeguata assistenza sanitaria in  materia nei conflitti armati, compresi la salute sessuale e riproduttiva e i relativi diritti;  invita l'UE e gli Stati membri a garantire che i conflitti armati siano considerati  nell'ottica di una prospettiva di genere; </w:t>
      </w:r>
    </w:p>
    <w:p w:rsidR="00A95CCD" w:rsidRDefault="00B6332E">
      <w:pPr>
        <w:pStyle w:val="normal"/>
        <w:widowControl w:val="0"/>
        <w:pBdr>
          <w:top w:val="nil"/>
          <w:left w:val="nil"/>
          <w:bottom w:val="nil"/>
          <w:right w:val="nil"/>
          <w:between w:val="nil"/>
        </w:pBdr>
        <w:spacing w:before="246" w:line="229" w:lineRule="auto"/>
        <w:ind w:left="604" w:right="34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122. ricorda che l'integrazione e l'operatività della prospettiva di genere nelle relazioni  esterne e l'attuazione dell'agenda su donne, pace e sicurezza, </w:t>
      </w:r>
      <w:r>
        <w:rPr>
          <w:rFonts w:ascii="Times New Roman" w:eastAsia="Times New Roman" w:hAnsi="Times New Roman" w:cs="Times New Roman"/>
          <w:color w:val="000000"/>
          <w:sz w:val="24"/>
          <w:szCs w:val="24"/>
          <w:highlight w:val="white"/>
        </w:rPr>
        <w:t>in conformità delle</w:t>
      </w:r>
      <w:r>
        <w:rPr>
          <w:rFonts w:ascii="Times New Roman" w:eastAsia="Times New Roman" w:hAnsi="Times New Roman" w:cs="Times New Roman"/>
          <w:color w:val="000000"/>
          <w:sz w:val="24"/>
          <w:szCs w:val="24"/>
        </w:rPr>
        <w:t xml:space="preserve">  p</w:t>
      </w:r>
      <w:r>
        <w:rPr>
          <w:rFonts w:ascii="Times New Roman" w:eastAsia="Times New Roman" w:hAnsi="Times New Roman" w:cs="Times New Roman"/>
          <w:color w:val="000000"/>
          <w:sz w:val="24"/>
          <w:szCs w:val="24"/>
          <w:highlight w:val="white"/>
        </w:rPr>
        <w:t>ertinenti risoluzioni del Consiglio di sicurezza delle Nazioni Unite</w:t>
      </w:r>
      <w:r>
        <w:rPr>
          <w:rFonts w:ascii="Times New Roman" w:eastAsia="Times New Roman" w:hAnsi="Times New Roman" w:cs="Times New Roman"/>
          <w:color w:val="000000"/>
          <w:sz w:val="24"/>
          <w:szCs w:val="24"/>
        </w:rPr>
        <w:t xml:space="preserve">, sono priorità di  lunga data per l'UE; ricorda, a tale proposito, l'importanza di rafforzare la  partecipazione delle donne alla prevenzione e risoluzione dei conflitti, ai negoziati di  pace, al consolidamento e mantenimento della pace, all'azione umanitaria e alla  ricostruzione postbellica;  </w:t>
      </w:r>
    </w:p>
    <w:p w:rsidR="00A95CCD" w:rsidRDefault="00B6332E">
      <w:pPr>
        <w:pStyle w:val="normal"/>
        <w:widowControl w:val="0"/>
        <w:pBdr>
          <w:top w:val="nil"/>
          <w:left w:val="nil"/>
          <w:bottom w:val="nil"/>
          <w:right w:val="nil"/>
          <w:between w:val="nil"/>
        </w:pBdr>
        <w:spacing w:before="246" w:line="229" w:lineRule="auto"/>
        <w:ind w:left="604" w:right="6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123. sottolinea che l'integrazione di una prospettiva di genere in tutte le attività esterne e  interne della PSDC contribuisce a migliorare l'efficacia operativa della PSDC e rafforza  la credibilità dell'UE quale sostenitrice della parità di genere in tutto il mondo; insiste  </w:t>
      </w:r>
      <w:r>
        <w:rPr>
          <w:rFonts w:ascii="Times New Roman" w:eastAsia="Times New Roman" w:hAnsi="Times New Roman" w:cs="Times New Roman"/>
          <w:color w:val="000000"/>
          <w:sz w:val="24"/>
          <w:szCs w:val="24"/>
        </w:rPr>
        <w:lastRenderedPageBreak/>
        <w:t xml:space="preserve">pertanto sull'importanza di mantenere tutti gli impegni assunti dall'UE, compresi quelli  contenuti nel piano d'azione dell'UE sulla parità di genere III (2020-2024) e nella  bussola strategica; insiste altresì affinché l'aggiornamento della bussola strategica  proponga ulteriori misure per garantire la parità di genere e la piena e significativa  partecipazione delle donne alla PSDC, soprattutto nelle missioni militari; </w:t>
      </w:r>
    </w:p>
    <w:p w:rsidR="00A95CCD" w:rsidRDefault="00B6332E">
      <w:pPr>
        <w:pStyle w:val="normal"/>
        <w:widowControl w:val="0"/>
        <w:pBdr>
          <w:top w:val="nil"/>
          <w:left w:val="nil"/>
          <w:bottom w:val="nil"/>
          <w:right w:val="nil"/>
          <w:between w:val="nil"/>
        </w:pBdr>
        <w:spacing w:before="246" w:line="229" w:lineRule="auto"/>
        <w:ind w:left="604" w:right="226"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 apprezza l'inclusione delle prospettive di genere e dei diritti umani e la nomina di  consulenti in materia di genere in tutte le missioni e operazioni PSDC nonché  l'istituzione di una rete di punti focali per le questioni di genere; chiede che il nuovo  patto sulla dimensione civile della PSDC sia utilizzato per favorire una partecipazione  piena delle donne alle missioni civili della PSDC; </w:t>
      </w:r>
    </w:p>
    <w:p w:rsidR="00A95CCD" w:rsidRDefault="00B6332E">
      <w:pPr>
        <w:pStyle w:val="normal"/>
        <w:widowControl w:val="0"/>
        <w:pBdr>
          <w:top w:val="nil"/>
          <w:left w:val="nil"/>
          <w:bottom w:val="nil"/>
          <w:right w:val="nil"/>
          <w:between w:val="nil"/>
        </w:pBdr>
        <w:spacing w:before="246" w:line="240" w:lineRule="auto"/>
        <w:ind w:left="3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Missioni e operazioni PSDC</w:t>
      </w:r>
    </w:p>
    <w:p w:rsidR="00A95CCD" w:rsidRDefault="00B6332E">
      <w:pPr>
        <w:pStyle w:val="normal"/>
        <w:widowControl w:val="0"/>
        <w:pBdr>
          <w:top w:val="nil"/>
          <w:left w:val="nil"/>
          <w:bottom w:val="nil"/>
          <w:right w:val="nil"/>
          <w:between w:val="nil"/>
        </w:pBdr>
        <w:spacing w:line="229" w:lineRule="auto"/>
        <w:ind w:left="604" w:right="19"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125. sottolinea l'importanza di obiettivi chiari e realizzabili, dell'apertura alle prospettive e  alla titolarità del paese ospitante, nonché della dotazione di risorse finanziarie,  logistiche e umane necessarie per ciascuna di tali missioni e operazioni PSDC;  sottolinea inoltre il deterioramento del contesto di sicurezza in cui sono presenti molte  missioni PSDC; chiede miglioramenti nella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della valutazione e del controllo  delle missioni e operazioni PSDC; rinnova la sua richiesta di valutazioni esaustive delle  missioni e delle operazioni PSDC, in particolare per quanto riguarda la fattibilità dei  loro mandati rispetto alle risorse e alle attrezzature assegnate, la loro gestione, le  modalità di assunzione del personale e la corrispondenza tra i profili e le competenze  richieste, la trasparenza dei bandi di gara, le attività e ai risultati ottenuti, gli  insegnamenti tratti sulle buone pratiche e le difficoltà incontrate; sottolinea la  particolare necessità che tutte le missioni e operazioni prevedano disposizioni  provvisorie che consentano, ove necessario, una conclusione sostenibile; invita la  VP/AR e gli Stati membri a continuare a concepire in modo efficace le missioni e le  operazioni PSDC, anche attraverso mandati solidi, orientati ai risultati, flessibili e  modulari, in modo da adattarsi all'evoluzione del contesto di sicurezza e alle esigenze  dei paesi ospitanti, e a mantenere un forte partenariato con i governi ospitanti, la società  civile e le popolazioni locali, garantendo la creazione delle condizioni necessarie  affinché le missioni e operazioni conseguano i propri obiettivi a lungo termine; invita  gli Stati membri a utilizzare il nuovo patto sulla dimensione civile della PSDC per  rafforzare la loro visione strategica della gestione civile delle crisi chiarendo il ruolo,  l'efficacia e il valore aggiunto della PSDC civile e definendo un livello di ambizione  condiviso per la gestione civile delle crisi; chiede inoltre di mettere a frutto le sinergie e  le complementarità delle dimensioni civile e militare della PSDC; invita la  Commissione e il SEAE a sviluppare, insieme agli Stati membri, un processo di  sviluppo delle capacità civili strutturato e regolare per valutare la disponibilità delle  esigenze degli Stati membri in termini di capacità, elaborare i requisiti, effettuare  un'analisi delle lacune e riesaminare periodicamente i progressi compiuti; ritiene che  occorra elaborare una solida politica in materia di equipaggiamento e servizi necessari  ai paesi partner in cui sono dispiegate le missioni civili della PSDC;  </w:t>
      </w:r>
    </w:p>
    <w:p w:rsidR="00A95CCD" w:rsidRDefault="00B6332E">
      <w:pPr>
        <w:pStyle w:val="normal"/>
        <w:widowControl w:val="0"/>
        <w:pBdr>
          <w:top w:val="nil"/>
          <w:left w:val="nil"/>
          <w:bottom w:val="nil"/>
          <w:right w:val="nil"/>
          <w:between w:val="nil"/>
        </w:pBdr>
        <w:spacing w:before="246" w:line="229" w:lineRule="auto"/>
        <w:ind w:left="606" w:right="8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126. osserva che il bilancio della PESC per le missioni civili della PSDC è aumentato solo  marginalmente dal quadro finanziario pluriennale (QFP) 2014-2020 al QFP 2021-2027,  a fronte di un aumento del numero, dei compiti e dei costi delle missioni; chiede un  sostanziale aumento dei finanziamenti per il bilancio della PESC, garantendo nel  contempo un uso efficiente dei fondi assegnati alle missioni civili PSDC, al fine di  garantire che esse rispondano efficacemente alle situazioni di crisi e agli eventi  imprevisti; chiede l'elaborazione di una linea di bilancio specifica, o "strumento di  sostegno civile", per fornire ai paesi partner equipaggiamento e servizi intesi a  rafforzare le loro capacità civili;  </w:t>
      </w:r>
    </w:p>
    <w:p w:rsidR="00A95CCD" w:rsidRDefault="00B6332E">
      <w:pPr>
        <w:pStyle w:val="normal"/>
        <w:widowControl w:val="0"/>
        <w:pBdr>
          <w:top w:val="nil"/>
          <w:left w:val="nil"/>
          <w:bottom w:val="nil"/>
          <w:right w:val="nil"/>
          <w:between w:val="nil"/>
        </w:pBdr>
        <w:spacing w:before="246" w:line="229" w:lineRule="auto"/>
        <w:ind w:left="66" w:right="5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127. ribadisce il suo invito al SEAE ad adottare misure concrete a sostegno delle missioni e  operazioni PSDC per la difesa contro gli attacchi informatici e ibridi e per la lotta alla  manipolazione delle informazioni e alle ingerenze da parte di attori stranieri nei paesi in  cui sono schierate missioni e operazioni PSDC, in particolare nei Balcani occidentali e  nei paesi del partenariato orientale; invita la Commissione a tenere conto delle missioni  e operazioni PSDC nel definire lo scudo europeo per la democrazia, al fine di prevenire  minacce volte a screditare le azioni esterne dell'UE e proteggere il personale dell'UE  dispiegato all'estero; insiste sulla necessità di sfruttare gli insegnamenti appresi nelle  diverse missioni e operazioni PSDC, nonché di cooperare con le missioni e operazioni  degli Stati membri, per comunicare e individuare meglio le minacce al fine di  anticiparle o rispondervi tempestivamente quando necessario; chiede una migliore </w:t>
      </w:r>
    </w:p>
    <w:p w:rsidR="00A95CCD" w:rsidRDefault="00B6332E">
      <w:pPr>
        <w:pStyle w:val="normal"/>
        <w:widowControl w:val="0"/>
        <w:pBdr>
          <w:top w:val="nil"/>
          <w:left w:val="nil"/>
          <w:bottom w:val="nil"/>
          <w:right w:val="nil"/>
          <w:between w:val="nil"/>
        </w:pBdr>
        <w:spacing w:line="229" w:lineRule="auto"/>
        <w:ind w:left="604" w:right="26"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capacità di risposta, una migliore comunicazione strategica e una maggiore  sensibilizzazione nelle aree di dispiegamento, utilizzando le lingue locali pertinenti, al  fine di spiegare meglio alla popolazione locale le motivazioni, i vantaggi e i ruoli delle  missioni e operazioni PSDC nelle rispettive regioni, evidenziando anche le conseguenze  derivanti dal fare affidamento sul sostegno di altri attori che mirano a destabilizzarle, in  particolare la Russia e la Cina; invita altresì la Commissione e il SEAE ad aumentare la  visibilità delle missioni e operazioni PSDC nei paesi del partenariato orientale  includendole nei loro messaggi politici, rendendo i documenti accessibili al pubblico e  interagendo con la stampa internazionale; invita la Commissione e il SEAE ad adeguare  i mandati consultivi delle missioni e operazioni PSDC al fine di includere una  formazione specializzata sulla lotta contro le attività di guerra ibrida, la guerra  informatica e l'analisi dell'intelligence da fonte aperta (OSINT); invita il SEAE ad  aumentare la cooperazione e il coordinamento con altre missioni e operazioni di partner  e organizzazioni che condividono gli stessi valori, comprese le operazioni di  mantenimento della pace delle Nazioni Unite, per contrastare le operazioni di  manipolazione delle informazioni e ingerenze straniere sul campo; </w:t>
      </w:r>
    </w:p>
    <w:p w:rsidR="00A95CCD" w:rsidRDefault="00B6332E">
      <w:pPr>
        <w:pStyle w:val="normal"/>
        <w:widowControl w:val="0"/>
        <w:pBdr>
          <w:top w:val="nil"/>
          <w:left w:val="nil"/>
          <w:bottom w:val="nil"/>
          <w:right w:val="nil"/>
          <w:between w:val="nil"/>
        </w:pBdr>
        <w:spacing w:before="246" w:line="229" w:lineRule="auto"/>
        <w:ind w:left="604" w:right="72"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128. sottolinea che la corruzione nei teatri delle operazioni può danneggiare le missioni e  operazioni PSDC esponendole a danni </w:t>
      </w:r>
      <w:proofErr w:type="spellStart"/>
      <w:r>
        <w:rPr>
          <w:rFonts w:ascii="Times New Roman" w:eastAsia="Times New Roman" w:hAnsi="Times New Roman" w:cs="Times New Roman"/>
          <w:color w:val="000000"/>
          <w:sz w:val="24"/>
          <w:szCs w:val="24"/>
        </w:rPr>
        <w:t>reputazionali</w:t>
      </w:r>
      <w:proofErr w:type="spellEnd"/>
      <w:r>
        <w:rPr>
          <w:rFonts w:ascii="Times New Roman" w:eastAsia="Times New Roman" w:hAnsi="Times New Roman" w:cs="Times New Roman"/>
          <w:color w:val="000000"/>
          <w:sz w:val="24"/>
          <w:szCs w:val="24"/>
        </w:rPr>
        <w:t xml:space="preserve">, sprecando le risorse e favorendo il  malgoverno e la cattiva amministrazione, nonché aumentando i livelli locali di  corruzione, frode, estorsione e nepotismo; chiede l'attuazione di strategie volte a  prevenire e combattere la corruzione, sviluppando competenze e conoscenze in materia  di lotta alla corruzione e intensificando gli sforzi per attenuare i rischi di corruzione  nelle missioni e operazioni PSDC attuali e future; </w:t>
      </w:r>
    </w:p>
    <w:p w:rsidR="00A95CCD" w:rsidRDefault="00B6332E">
      <w:pPr>
        <w:pStyle w:val="normal"/>
        <w:widowControl w:val="0"/>
        <w:pBdr>
          <w:top w:val="nil"/>
          <w:left w:val="nil"/>
          <w:bottom w:val="nil"/>
          <w:right w:val="nil"/>
          <w:between w:val="nil"/>
        </w:pBdr>
        <w:spacing w:before="246" w:line="229" w:lineRule="auto"/>
        <w:ind w:left="604" w:right="19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129. invita il Consiglio e il SEAE a integrare nelle loro missioni e operazioni PSDC una  componente relativa alla tutela del patrimonio culturale, al fine di fornire assistenza e  formazione ai partner locali nell'affrontare le sfide di sicurezza connesse alla  conservazione e alla protezione del patrimonio culturale; osserva che l'inclusione della  tutela del patrimonio culturale e del dialogo interculturale nei mandati delle missioni  porterebbe vantaggi al processo di riconciliazione e risoluzione dei conflitti; </w:t>
      </w:r>
    </w:p>
    <w:p w:rsidR="00A95CCD" w:rsidRDefault="00B6332E">
      <w:pPr>
        <w:pStyle w:val="normal"/>
        <w:widowControl w:val="0"/>
        <w:pBdr>
          <w:top w:val="nil"/>
          <w:left w:val="nil"/>
          <w:bottom w:val="nil"/>
          <w:right w:val="nil"/>
          <w:between w:val="nil"/>
        </w:pBdr>
        <w:spacing w:before="246" w:line="229" w:lineRule="auto"/>
        <w:ind w:left="604" w:right="38"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130. sottolinea la necessità di estendere i mandati delle missioni e delle operazioni PSDC  dispiegate nei paesi vicini dell'Europa orientale, dove l'aumento delle minacce alla  sicurezza giustifica una presenza rafforzata dell'UE; incoraggia tutti gli Stati membri a  schierare personale per tali missioni e operazioni; incoraggia inoltre una maggiore  partecipazione dei paesi terzi a tali missioni, in particolare dei paesi terzi che hanno  ospitato missioni PSDC completate con successo; invita gli Stati membri a valutare  come creare nuove missioni e operazioni PSDC nei paesi candidati all'adesione all'UE,  se necessario, e in stretta collaborazione con le rispettive autorità nazionali; chiede al  SEAE di garantire che il sostegno delle missioni PSDC alle riforme del settore della  sicurezza comprenda la formazione dei funzionari ministeriali; invita il SEAE e  l'Accademia europea per la sicurezza e la difesa a contribuire allo sviluppo delle  </w:t>
      </w:r>
      <w:r>
        <w:rPr>
          <w:rFonts w:ascii="Times New Roman" w:eastAsia="Times New Roman" w:hAnsi="Times New Roman" w:cs="Times New Roman"/>
          <w:color w:val="000000"/>
          <w:sz w:val="24"/>
          <w:szCs w:val="24"/>
        </w:rPr>
        <w:lastRenderedPageBreak/>
        <w:t xml:space="preserve">competenze del personale civile e della difesa che sostiene le missioni e le operazioni  PSDC e che è schierato in tali missioni e operazioni; riconosce l'opportunità per i paesi  terzi che ospitano missioni e operazioni PSDC di contribuire agli obiettivi della PSDC e  di dimostrare la loro capacità di fornire sicurezza ad altri attraverso la partecipazione a  missioni e operazioni PSDC fuori area;  </w:t>
      </w:r>
    </w:p>
    <w:p w:rsidR="00A95CCD" w:rsidRDefault="00B6332E">
      <w:pPr>
        <w:pStyle w:val="normal"/>
        <w:widowControl w:val="0"/>
        <w:pBdr>
          <w:top w:val="nil"/>
          <w:left w:val="nil"/>
          <w:bottom w:val="nil"/>
          <w:right w:val="nil"/>
          <w:between w:val="nil"/>
        </w:pBdr>
        <w:spacing w:before="246" w:line="229" w:lineRule="auto"/>
        <w:ind w:left="66"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131. accoglie con favore la proroga, da parte del Consiglio di sicurezza delle Nazioni Unite,  del mandato dell'operazione </w:t>
      </w:r>
      <w:proofErr w:type="spellStart"/>
      <w:r>
        <w:rPr>
          <w:rFonts w:ascii="Times New Roman" w:eastAsia="Times New Roman" w:hAnsi="Times New Roman" w:cs="Times New Roman"/>
          <w:color w:val="000000"/>
          <w:sz w:val="24"/>
          <w:szCs w:val="24"/>
        </w:rPr>
        <w:t>Althea</w:t>
      </w:r>
      <w:proofErr w:type="spellEnd"/>
      <w:r>
        <w:rPr>
          <w:rFonts w:ascii="Times New Roman" w:eastAsia="Times New Roman" w:hAnsi="Times New Roman" w:cs="Times New Roman"/>
          <w:color w:val="000000"/>
          <w:sz w:val="24"/>
          <w:szCs w:val="24"/>
        </w:rPr>
        <w:t xml:space="preserve"> dell'Unione europea (EUFOR) in Bosnia Erzegovina oltre il 2025, in quanto missione consolidata e comprovata di mantenimento </w:t>
      </w:r>
    </w:p>
    <w:p w:rsidR="00A95CCD" w:rsidRDefault="00B6332E">
      <w:pPr>
        <w:pStyle w:val="normal"/>
        <w:widowControl w:val="0"/>
        <w:pBdr>
          <w:top w:val="nil"/>
          <w:left w:val="nil"/>
          <w:bottom w:val="nil"/>
          <w:right w:val="nil"/>
          <w:between w:val="nil"/>
        </w:pBdr>
        <w:spacing w:line="229" w:lineRule="auto"/>
        <w:ind w:left="604"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della pace che ha contribuito in modo significativo alla stabilità sia del paese che della  regione; plaude inoltre alla risposta positiva della missione alla richiesta dell'Agenzia  per la protezione civile del ministero della Sicurezza della Bosnia-Erzegovina di offrire  assistenza alle autorità nazionali nell'affrontare l'impatto delle recenti inondazioni;  osserva che tale proroga riflette l'impegno condiviso di tutti gli schieramenti politici in  Bosnia-Erzegovina a sostenere la pace e la sicurezza in cooperazione con l'UE; accoglie  con favore la presenza costante della forza per il Kosovo (KFOR) e della missione  dell'UE sullo Stato di diritto (EULEX) in Kosovo e ne elogia il ruolo nel rafforzare la  sicurezza e la stabilità; invita tutte le parti coinvolte a rispettare i requisiti del diritto  internazionale, ad agire con moderazione e a prevenire qualsiasi azione destabilizzante  nella regione settentrionale del Kosovo; le esorta a impegnarsi nel dialogo strutturato  mediato dall'UE; accoglie con favore l'arrivo delle forze di riserva EUFOR </w:t>
      </w:r>
      <w:proofErr w:type="spellStart"/>
      <w:r>
        <w:rPr>
          <w:rFonts w:ascii="Times New Roman" w:eastAsia="Times New Roman" w:hAnsi="Times New Roman" w:cs="Times New Roman"/>
          <w:color w:val="000000"/>
          <w:sz w:val="24"/>
          <w:szCs w:val="24"/>
        </w:rPr>
        <w:t>Althea</w:t>
      </w:r>
      <w:proofErr w:type="spellEnd"/>
      <w:r>
        <w:rPr>
          <w:rFonts w:ascii="Times New Roman" w:eastAsia="Times New Roman" w:hAnsi="Times New Roman" w:cs="Times New Roman"/>
          <w:color w:val="000000"/>
          <w:sz w:val="24"/>
          <w:szCs w:val="24"/>
        </w:rPr>
        <w:t xml:space="preserve"> in  Bosnia-Erzegovina a metà marzo e ribadisce il suo invito a tutti gli attori in Bosnia Erzegovina ad astenersi da qualsiasi minaccia politica e da altre azioni potenzialmente  dannose, a rispettare la Costituzione del paese e ad adoperarsi per garantire il percorso  di integrazione della Bosnia-Erzegovina nell'UE; condanna con la massima fermezza  l'attacco terroristico sferrato dai paramilitari serbi contro la polizia del Kosovo e il  terribile attacco terroristico contro le infrastrutture critiche nei pressi di Zubin </w:t>
      </w:r>
      <w:proofErr w:type="spellStart"/>
      <w:r>
        <w:rPr>
          <w:rFonts w:ascii="Times New Roman" w:eastAsia="Times New Roman" w:hAnsi="Times New Roman" w:cs="Times New Roman"/>
          <w:color w:val="000000"/>
          <w:sz w:val="24"/>
          <w:szCs w:val="24"/>
        </w:rPr>
        <w:t>Potok</w:t>
      </w:r>
      <w:proofErr w:type="spellEnd"/>
      <w:r>
        <w:rPr>
          <w:rFonts w:ascii="Times New Roman" w:eastAsia="Times New Roman" w:hAnsi="Times New Roman" w:cs="Times New Roman"/>
          <w:color w:val="000000"/>
          <w:sz w:val="24"/>
          <w:szCs w:val="24"/>
        </w:rPr>
        <w:t xml:space="preserve">, nel  Kosovo settentrionale; insiste sulla necessità che gli autori di questi deplorevoli attacchi  terroristici siano chiamati a rispondere delle loro azioni e processati senza indugio;  chiede di rafforzare l'operazione </w:t>
      </w:r>
      <w:proofErr w:type="spellStart"/>
      <w:r>
        <w:rPr>
          <w:rFonts w:ascii="Times New Roman" w:eastAsia="Times New Roman" w:hAnsi="Times New Roman" w:cs="Times New Roman"/>
          <w:color w:val="000000"/>
          <w:sz w:val="24"/>
          <w:szCs w:val="24"/>
        </w:rPr>
        <w:t>Althea</w:t>
      </w:r>
      <w:proofErr w:type="spellEnd"/>
      <w:r>
        <w:rPr>
          <w:rFonts w:ascii="Times New Roman" w:eastAsia="Times New Roman" w:hAnsi="Times New Roman" w:cs="Times New Roman"/>
          <w:color w:val="000000"/>
          <w:sz w:val="24"/>
          <w:szCs w:val="24"/>
        </w:rPr>
        <w:t xml:space="preserve"> dell'EUFOR e la KFOR dotandole di risorse  aggiuntive; </w:t>
      </w:r>
    </w:p>
    <w:p w:rsidR="00A95CCD" w:rsidRDefault="00B6332E">
      <w:pPr>
        <w:pStyle w:val="normal"/>
        <w:widowControl w:val="0"/>
        <w:pBdr>
          <w:top w:val="nil"/>
          <w:left w:val="nil"/>
          <w:bottom w:val="nil"/>
          <w:right w:val="nil"/>
          <w:between w:val="nil"/>
        </w:pBdr>
        <w:spacing w:before="246" w:line="229" w:lineRule="auto"/>
        <w:ind w:left="604" w:right="6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132. elogia l'istituzione e le operazioni della missione di partenariato dell'UE in Moldova  (EUPM Moldova), che ha contribuito a rafforzare le strutture di gestione delle crisi del  paese e a rafforzarne la resilienza alle minacce informatiche e ibride, nonché a  contrastare la manipolazione delle informazioni e le ingerenze da parte di attori  stranieri; chiede che il mandato della missione sia prorogato oltre il maggio 2025, che  sia valutata l'adeguatezza dei suoi mezzi, dei suoi metodi e delle sue risorse in relazione  agli obiettivi della missione e che le risorse siano adeguate alla luce delle conclusioni  della valutazione al fine di migliorarne l'efficacia; riconosce l'importante ruolo svolto  dalla missione dell'UE di assistenza alle frontiere per i valichi Moldova/Ucraina  (EUBAM) nel contribuire a riaprire il trasporto ferroviario di merci attraverso la  </w:t>
      </w:r>
      <w:proofErr w:type="spellStart"/>
      <w:r>
        <w:rPr>
          <w:rFonts w:ascii="Times New Roman" w:eastAsia="Times New Roman" w:hAnsi="Times New Roman" w:cs="Times New Roman"/>
          <w:color w:val="000000"/>
          <w:sz w:val="24"/>
          <w:szCs w:val="24"/>
        </w:rPr>
        <w:t>Transnistria</w:t>
      </w:r>
      <w:proofErr w:type="spellEnd"/>
      <w:r>
        <w:rPr>
          <w:rFonts w:ascii="Times New Roman" w:eastAsia="Times New Roman" w:hAnsi="Times New Roman" w:cs="Times New Roman"/>
          <w:color w:val="000000"/>
          <w:sz w:val="24"/>
          <w:szCs w:val="24"/>
        </w:rPr>
        <w:t xml:space="preserve"> e nello sventare molteplici operazioni di contrabbando; incoraggia  l'EUBAM a estendere la sua collaborazione con numerose organizzazioni  internazionali, tra cui </w:t>
      </w:r>
      <w:proofErr w:type="spellStart"/>
      <w:r>
        <w:rPr>
          <w:rFonts w:ascii="Times New Roman" w:eastAsia="Times New Roman" w:hAnsi="Times New Roman" w:cs="Times New Roman"/>
          <w:color w:val="000000"/>
          <w:sz w:val="24"/>
          <w:szCs w:val="24"/>
        </w:rPr>
        <w:t>Europol</w:t>
      </w:r>
      <w:proofErr w:type="spellEnd"/>
      <w:r>
        <w:rPr>
          <w:rFonts w:ascii="Times New Roman" w:eastAsia="Times New Roman" w:hAnsi="Times New Roman" w:cs="Times New Roman"/>
          <w:color w:val="000000"/>
          <w:sz w:val="24"/>
          <w:szCs w:val="24"/>
        </w:rPr>
        <w:t xml:space="preserve">, FRONTEX e OSCE, tramite il suo gruppo di lavoro  sulle armi, le operazioni congiunte ORIO II e le iniziative "EU 4 </w:t>
      </w:r>
      <w:proofErr w:type="spellStart"/>
      <w:r>
        <w:rPr>
          <w:rFonts w:ascii="Times New Roman" w:eastAsia="Times New Roman" w:hAnsi="Times New Roman" w:cs="Times New Roman"/>
          <w:color w:val="000000"/>
          <w:sz w:val="24"/>
          <w:szCs w:val="24"/>
        </w:rPr>
        <w:t>Border</w:t>
      </w:r>
      <w:proofErr w:type="spellEnd"/>
      <w:r>
        <w:rPr>
          <w:rFonts w:ascii="Times New Roman" w:eastAsia="Times New Roman" w:hAnsi="Times New Roman" w:cs="Times New Roman"/>
          <w:color w:val="000000"/>
          <w:sz w:val="24"/>
          <w:szCs w:val="24"/>
        </w:rPr>
        <w:t xml:space="preserve"> Security";  </w:t>
      </w:r>
    </w:p>
    <w:p w:rsidR="00A95CCD" w:rsidRDefault="00B6332E">
      <w:pPr>
        <w:pStyle w:val="normal"/>
        <w:widowControl w:val="0"/>
        <w:pBdr>
          <w:top w:val="nil"/>
          <w:left w:val="nil"/>
          <w:bottom w:val="nil"/>
          <w:right w:val="nil"/>
          <w:between w:val="nil"/>
        </w:pBdr>
        <w:spacing w:before="246" w:line="229" w:lineRule="auto"/>
        <w:ind w:left="607" w:right="49"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 accoglie con favore il ruolo della missione di vigilanza dell'UE (EUMM) in Georgia nel  monitorare la situazione lungo la linea di confine amministrativo tra l'</w:t>
      </w:r>
      <w:proofErr w:type="spellStart"/>
      <w:r>
        <w:rPr>
          <w:rFonts w:ascii="Times New Roman" w:eastAsia="Times New Roman" w:hAnsi="Times New Roman" w:cs="Times New Roman"/>
          <w:color w:val="000000"/>
          <w:sz w:val="24"/>
          <w:szCs w:val="24"/>
        </w:rPr>
        <w:t>Abkhazia</w:t>
      </w:r>
      <w:proofErr w:type="spellEnd"/>
      <w:r>
        <w:rPr>
          <w:rFonts w:ascii="Times New Roman" w:eastAsia="Times New Roman" w:hAnsi="Times New Roman" w:cs="Times New Roman"/>
          <w:color w:val="000000"/>
          <w:sz w:val="24"/>
          <w:szCs w:val="24"/>
        </w:rPr>
        <w:t xml:space="preserve"> e  l'Ossezia del Sud; condanna l'arresto temporaneo di agenti dell'EUMM da parte delle  forze di sicurezza mentre effettuavano un pattugliamento di routine lungo la linea di  confine amministrativo; esprime profonda preoccupazione per qualsiasi azione che  ostacoli le attività dell'EUMM e miri a compromettere gli sforzi volti a creare fiducia;  esorta il Consiglio e il SEAE a monitorare attentamente la situazione, a promuovere il  </w:t>
      </w:r>
      <w:r>
        <w:rPr>
          <w:rFonts w:ascii="Times New Roman" w:eastAsia="Times New Roman" w:hAnsi="Times New Roman" w:cs="Times New Roman"/>
          <w:color w:val="000000"/>
          <w:sz w:val="24"/>
          <w:szCs w:val="24"/>
        </w:rPr>
        <w:lastRenderedPageBreak/>
        <w:t xml:space="preserve">libero accesso dell'EUMM ai territori georgiani occupati dalla Russia secondo il  mandato della missione, a sostenere l'estensione del suo mandato e a rafforzare le sue  capacità al fine di rispondere adeguatamente alle esigenze umanitarie e di sicurezza  della popolazione locale nelle zone colpite dal conflitto; </w:t>
      </w:r>
    </w:p>
    <w:p w:rsidR="00A95CCD" w:rsidRDefault="00B6332E">
      <w:pPr>
        <w:pStyle w:val="normal"/>
        <w:widowControl w:val="0"/>
        <w:pBdr>
          <w:top w:val="nil"/>
          <w:left w:val="nil"/>
          <w:bottom w:val="nil"/>
          <w:right w:val="nil"/>
          <w:between w:val="nil"/>
        </w:pBdr>
        <w:spacing w:before="246" w:line="229" w:lineRule="auto"/>
        <w:ind w:left="607" w:right="39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134. accoglie con favore e sostiene fermamente le attività della missione civile dell'UE in  Armenia (EUMA) nel quadro della PSDC, che contribuisce a rafforzare la sicurezza </w:t>
      </w:r>
    </w:p>
    <w:p w:rsidR="00A95CCD" w:rsidRDefault="00B6332E">
      <w:pPr>
        <w:pStyle w:val="normal"/>
        <w:widowControl w:val="0"/>
        <w:pBdr>
          <w:top w:val="nil"/>
          <w:left w:val="nil"/>
          <w:bottom w:val="nil"/>
          <w:right w:val="nil"/>
          <w:between w:val="nil"/>
        </w:pBdr>
        <w:spacing w:line="229" w:lineRule="auto"/>
        <w:ind w:left="604" w:right="123"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nella regione riducendo sostanzialmente il numero di incidenti nelle zone teatro di  conflitto e nelle zone di frontiera e abbassando il livello di rischio per la popolazione  che vive in tali zone; accoglie con favore l'assistenza dell'Armenia alle attività  dell'EUMA sul suo territorio; elogia il Consiglio per la decisione di rafforzare la  capacità della missione e aumentare il numero di osservatori dispiegati, nonché di  estenderne il periodo di dispiegamento, e chiede un'ulteriore espansione e una presenza  più forte nella regione al fine di creare un contesto favorevole agli sforzi di  normalizzazione tra Armenia e Azerbaigian sostenuti dall'UE; esorta l'Azerbaigian ad  ammettere osservatori dell'UE anche dal suo lato della frontiera; condanna le minacce  dell'Azerbaigian e la narrativa negativa della Russia nei confronti dell'EUMA; </w:t>
      </w:r>
    </w:p>
    <w:p w:rsidR="00A95CCD" w:rsidRDefault="00B6332E">
      <w:pPr>
        <w:pStyle w:val="normal"/>
        <w:widowControl w:val="0"/>
        <w:pBdr>
          <w:top w:val="nil"/>
          <w:left w:val="nil"/>
          <w:bottom w:val="nil"/>
          <w:right w:val="nil"/>
          <w:between w:val="nil"/>
        </w:pBdr>
        <w:spacing w:before="246" w:line="229" w:lineRule="auto"/>
        <w:ind w:left="604" w:right="-4"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135. ritiene che le due missioni civili dell'UE condotte nell'ambito della PSDC, la missione  di polizia dell'Unione europea per i territori palestinesi (EUPOL COPPS) e la missione  dell'Unione europea di assistenza alle frontiere per il valico di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(EUBAM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possano svolgere un ruolo essenziale a sostegno degli sforzi per la costruzione dello  Stato palestinese; è favorevole a un potenziamento del ruolo dell'EUPOL COPPS e  dell'EUBAM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in linea con le conclusioni del Consiglio europeo del 21 e 22 marzo  2024 e sulla base del principio della soluzione fondata sulla coesistenza di due Stati e  sulla fattibilità di un futuro Stato palestinese, in modo che entrambe le missioni possano  contribuire a facilitare la fornitura di assistenza umanitaria nella Striscia di Gaza,  migliorare l'efficienza dell'Autorità palestinese in Cisgiordania e preparare il suo ritorno  nella Striscia di Gaza; sottolinea, in particolare, la necessità di creare le condizioni  necessarie per la piena riattivazione dell'EUBAM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per consentirle di agire come  terzo neutrale al valico di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in coordinamento con l'Autorità palestinese e con le  autorità israeliane ed egiziane; si attende che il rafforzamento della portata e dei  mandati dell'EUPOL COPPS e dell'EUBAM </w:t>
      </w:r>
      <w:proofErr w:type="spellStart"/>
      <w:r>
        <w:rPr>
          <w:rFonts w:ascii="Times New Roman" w:eastAsia="Times New Roman" w:hAnsi="Times New Roman" w:cs="Times New Roman"/>
          <w:color w:val="000000"/>
          <w:sz w:val="24"/>
          <w:szCs w:val="24"/>
        </w:rPr>
        <w:t>Rafah</w:t>
      </w:r>
      <w:proofErr w:type="spellEnd"/>
      <w:r>
        <w:rPr>
          <w:rFonts w:ascii="Times New Roman" w:eastAsia="Times New Roman" w:hAnsi="Times New Roman" w:cs="Times New Roman"/>
          <w:color w:val="000000"/>
          <w:sz w:val="24"/>
          <w:szCs w:val="24"/>
        </w:rPr>
        <w:t xml:space="preserve"> sul campo figuri tra le priorità  fondamentali della prossima strategia </w:t>
      </w:r>
      <w:proofErr w:type="spellStart"/>
      <w:r>
        <w:rPr>
          <w:rFonts w:ascii="Times New Roman" w:eastAsia="Times New Roman" w:hAnsi="Times New Roman" w:cs="Times New Roman"/>
          <w:color w:val="000000"/>
          <w:sz w:val="24"/>
          <w:szCs w:val="24"/>
        </w:rPr>
        <w:t>UE-Medio</w:t>
      </w:r>
      <w:proofErr w:type="spellEnd"/>
      <w:r>
        <w:rPr>
          <w:rFonts w:ascii="Times New Roman" w:eastAsia="Times New Roman" w:hAnsi="Times New Roman" w:cs="Times New Roman"/>
          <w:color w:val="000000"/>
          <w:sz w:val="24"/>
          <w:szCs w:val="24"/>
        </w:rPr>
        <w:t xml:space="preserve"> Oriente; apprezza la decisione del  Consiglio di prorogare i mandati delle due missioni fino al 30 giugno 2025; </w:t>
      </w:r>
    </w:p>
    <w:p w:rsidR="00A95CCD" w:rsidRDefault="00B6332E">
      <w:pPr>
        <w:pStyle w:val="normal"/>
        <w:widowControl w:val="0"/>
        <w:pBdr>
          <w:top w:val="nil"/>
          <w:left w:val="nil"/>
          <w:bottom w:val="nil"/>
          <w:right w:val="nil"/>
          <w:between w:val="nil"/>
        </w:pBdr>
        <w:spacing w:before="246" w:line="229" w:lineRule="auto"/>
        <w:ind w:left="604" w:right="12"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136. prende atto che i mandati dell'EUTM Mali, dell'EUMPM in Niger e della missione di  terra del personale dell'EUCAP Sahel Niger sono giunti a scadenza nel 2024, mentre la  missione dell'UE per lo sviluppo delle capacità nel Sahel Mali (EUCAP Sahel Mali) e la  cellula consultiva e di coordinamento regionale dell'UE (RACC) per il Sahel sono  ancora in corso; riconosce che le varie missioni internazionali non sono state in grado di  raggiungere il loro obiettivo di stabilizzare la regione e le sue fragili democrazie o di  garantire la pace nella regione; è preoccupato per il fallimento della strategia dell'UE  per il Sahel in termini di sicurezza e difesa; esprime una profonda preoccupazione per il  peggioramento della situazione della sicurezza, il continuo fallimento degli Stati e la  recrudescenza del terrorismo nel Sahel; prende atto della creazione di un nuovo tipo di  iniziativa civile-militare ibrida dell'UE per la sicurezza e la difesa nel Golfo di Guinea  (EUSDI Golfo di Guinea), istituita nell'agosto 2023, con l'obiettivo di rafforzare le forze  di sicurezza e di difesa della Costa d'Avorio, del Ghana, del Togo e del Benin per  migliorare la stabilità e la resilienza delle rispettive zone di frontiera settentrionali;  invita il SEAE e gli Stati membri a esaminare attentamente il mandato di tutte le  missioni PSDC in Africa con l'obiettivo di fornire obiettivi e traguardi fondamentali  raggiungibili per ciascuna missione nel quadro dell'attuale contesto politico, nonché a  valutare se tali missioni possano essere modificate per servire più efficacemente una  </w:t>
      </w:r>
      <w:r>
        <w:rPr>
          <w:rFonts w:ascii="Times New Roman" w:eastAsia="Times New Roman" w:hAnsi="Times New Roman" w:cs="Times New Roman"/>
          <w:color w:val="000000"/>
          <w:sz w:val="24"/>
          <w:szCs w:val="24"/>
        </w:rPr>
        <w:lastRenderedPageBreak/>
        <w:t>nuova strategia multidimensionale riveduta dell'UE per l'Africa e il Sahel, nell'ambito  del suo approccio integrato; chiede a tale proposito una revisione, in via prioritaria, del  mandato e delle risorse dell'EUCAP Sahel Mali e dell'EU RACC per il Sahel,  proponendo modifiche a tali missioni e valutando la loro cessazione, se necessario;</w:t>
      </w:r>
    </w:p>
    <w:p w:rsidR="00A95CCD" w:rsidRDefault="00B6332E">
      <w:pPr>
        <w:pStyle w:val="normal"/>
        <w:widowControl w:val="0"/>
        <w:pBdr>
          <w:top w:val="nil"/>
          <w:left w:val="nil"/>
          <w:bottom w:val="nil"/>
          <w:right w:val="nil"/>
          <w:between w:val="nil"/>
        </w:pBdr>
        <w:spacing w:line="229" w:lineRule="auto"/>
        <w:ind w:left="606" w:right="9"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137. plaude alla creazione, nel febbraio 2024, di EUNAVFOR ASPIDES quale operazione  militare dell'UE in risposta agli attacchi degli </w:t>
      </w:r>
      <w:proofErr w:type="spellStart"/>
      <w:r>
        <w:rPr>
          <w:rFonts w:ascii="Times New Roman" w:eastAsia="Times New Roman" w:hAnsi="Times New Roman" w:cs="Times New Roman"/>
          <w:color w:val="000000"/>
          <w:sz w:val="24"/>
          <w:szCs w:val="24"/>
        </w:rPr>
        <w:t>Houthi</w:t>
      </w:r>
      <w:proofErr w:type="spellEnd"/>
      <w:r>
        <w:rPr>
          <w:rFonts w:ascii="Times New Roman" w:eastAsia="Times New Roman" w:hAnsi="Times New Roman" w:cs="Times New Roman"/>
          <w:color w:val="000000"/>
          <w:sz w:val="24"/>
          <w:szCs w:val="24"/>
        </w:rPr>
        <w:t xml:space="preserve"> contro il trasporto marittimo  internazionale nel Mar Rosso, al fine di contribuire alla tutela della libertà di  navigazione e alla salvaguardia della sicurezza marittima, in particolare per le navi  mercantili e commerciali nel Mar Rosso, nell'Oceano Indiano e nel Golfo Persico; invita  gli Stati membri ad aumentare le capacità dell'operazione EUNAVFOR ASPIDES e a  valutare la possibilità di fonderla con l'operazione militare dell'UE ATALANTA, come  originariamente previsto, per migliorare l'efficienza di entrambe le operazioni; </w:t>
      </w:r>
    </w:p>
    <w:p w:rsidR="00A95CCD" w:rsidRDefault="00B6332E">
      <w:pPr>
        <w:pStyle w:val="normal"/>
        <w:widowControl w:val="0"/>
        <w:pBdr>
          <w:top w:val="nil"/>
          <w:left w:val="nil"/>
          <w:bottom w:val="nil"/>
          <w:right w:val="nil"/>
          <w:between w:val="nil"/>
        </w:pBdr>
        <w:spacing w:before="366" w:line="429" w:lineRule="auto"/>
        <w:ind w:left="54" w:right="1730" w:hanging="24"/>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Migliorare la capacità dell'UE di affrontare le sfide in materia di sicurezza </w:t>
      </w:r>
      <w:r>
        <w:rPr>
          <w:rFonts w:ascii="Times New Roman" w:eastAsia="Times New Roman" w:hAnsi="Times New Roman" w:cs="Times New Roman"/>
          <w:i/>
          <w:color w:val="000000"/>
          <w:sz w:val="24"/>
          <w:szCs w:val="24"/>
        </w:rPr>
        <w:t xml:space="preserve">Capacità di intelligence </w:t>
      </w:r>
    </w:p>
    <w:p w:rsidR="00A95CCD" w:rsidRDefault="00B6332E">
      <w:pPr>
        <w:pStyle w:val="normal"/>
        <w:widowControl w:val="0"/>
        <w:pBdr>
          <w:top w:val="nil"/>
          <w:left w:val="nil"/>
          <w:bottom w:val="nil"/>
          <w:right w:val="nil"/>
          <w:between w:val="nil"/>
        </w:pBdr>
        <w:spacing w:before="46" w:line="229" w:lineRule="auto"/>
        <w:ind w:left="612" w:right="-4" w:hanging="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138. sottolinea l'importanza di rafforzare la condivisione di intelligence e lo scambio di  informazioni tra gli Stati membri e le istituzioni dell'UE, compreso il Parlamento, al fine  di combattere le ingerenze straniere, migliorare la conoscenza situazionale ed essere in  grado di prevedere e contrastare meglio le minacce alla sicurezza collettiva nonché di  definire linee d'azione comuni nell'ambito della PSDC, in particolare nel settore della  gestione delle crisi;  </w:t>
      </w:r>
    </w:p>
    <w:p w:rsidR="00A95CCD" w:rsidRDefault="00B6332E">
      <w:pPr>
        <w:pStyle w:val="normal"/>
        <w:widowControl w:val="0"/>
        <w:pBdr>
          <w:top w:val="nil"/>
          <w:left w:val="nil"/>
          <w:bottom w:val="nil"/>
          <w:right w:val="nil"/>
          <w:between w:val="nil"/>
        </w:pBdr>
        <w:spacing w:before="246" w:line="229" w:lineRule="auto"/>
        <w:ind w:left="604" w:right="6"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 sottolinea che l'UE deve potersi avvalere pienamente delle necessarie informazioni da  fonti sicure rispetto alle questioni globali al di fuori dei propri confini, alla luce delle  crescenti sfide geopolitiche e delle crisi a livello mondiale; elogia gli sforzi del Centro  UE di situazione e di intelligence (INTCEN) e della direzione di intelligence dello Stato  maggiore dell'UE, che hanno collaborato nel quadro della capacità unica di analisi  dell'intelligence (SIAC), nonché del Centro satellitare dell'Unione europea (</w:t>
      </w:r>
      <w:proofErr w:type="spellStart"/>
      <w:r>
        <w:rPr>
          <w:rFonts w:ascii="Times New Roman" w:eastAsia="Times New Roman" w:hAnsi="Times New Roman" w:cs="Times New Roman"/>
          <w:color w:val="000000"/>
          <w:sz w:val="24"/>
          <w:szCs w:val="24"/>
        </w:rPr>
        <w:t>SatCen</w:t>
      </w:r>
      <w:proofErr w:type="spellEnd"/>
      <w:r>
        <w:rPr>
          <w:rFonts w:ascii="Times New Roman" w:eastAsia="Times New Roman" w:hAnsi="Times New Roman" w:cs="Times New Roman"/>
          <w:color w:val="000000"/>
          <w:sz w:val="24"/>
          <w:szCs w:val="24"/>
        </w:rPr>
        <w:t xml:space="preserve">), per  produrre valutazioni di intelligence da tutte le fonti; invita gli Stati membri dell'UE a  rafforzare l'INTCEN dell'UE, il SIAC, il Centro di risposta alle crisi del SEAE e il  </w:t>
      </w:r>
      <w:proofErr w:type="spellStart"/>
      <w:r>
        <w:rPr>
          <w:rFonts w:ascii="Times New Roman" w:eastAsia="Times New Roman" w:hAnsi="Times New Roman" w:cs="Times New Roman"/>
          <w:color w:val="000000"/>
          <w:sz w:val="24"/>
          <w:szCs w:val="24"/>
        </w:rPr>
        <w:t>SatCen</w:t>
      </w:r>
      <w:proofErr w:type="spellEnd"/>
      <w:r>
        <w:rPr>
          <w:rFonts w:ascii="Times New Roman" w:eastAsia="Times New Roman" w:hAnsi="Times New Roman" w:cs="Times New Roman"/>
          <w:color w:val="000000"/>
          <w:sz w:val="24"/>
          <w:szCs w:val="24"/>
        </w:rPr>
        <w:t xml:space="preserve"> dell'UE incrementandone il personale e le risorse finanziarie nonché  potenziandone le capacità e la sicurezza delle informazioni; esorta tali centri, a  condizione che dispongano di adeguate disposizioni in materia di sicurezza delle  informazioni, a trarre insegnamenti dal ruolo della NATO nel facilitare la condivisione  pubblico-privato dell'intelligence in materia di minacce informatiche e ad applicarla al  loro settore, offrendo così un valore aggiunto agli Stati membri; </w:t>
      </w:r>
    </w:p>
    <w:p w:rsidR="00A95CCD" w:rsidRDefault="00B6332E">
      <w:pPr>
        <w:pStyle w:val="normal"/>
        <w:widowControl w:val="0"/>
        <w:pBdr>
          <w:top w:val="nil"/>
          <w:left w:val="nil"/>
          <w:bottom w:val="nil"/>
          <w:right w:val="nil"/>
          <w:between w:val="nil"/>
        </w:pBdr>
        <w:spacing w:before="246" w:line="229" w:lineRule="auto"/>
        <w:ind w:left="607" w:right="59"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140. invita gli Stati membri a usare l'INTCEN dell'UE come efficace organismo di  condivisione dell'intelligence al fine di condividere le informazioni in modo sicuro,  formulare una cultura strategica e della sicurezza comune e fornire informazioni  strategiche; sottolinea che, sulla base delle informazioni raccolte, l'INTCEN dell'UE  dovrebbe essere maggiormente coinvolto nelle valutazioni delle minacce condotte dalle  istituzioni dell'UE, anche con riferimento all'attribuzione di operazioni digitali e  all'elusione delle sanzioni; rinnova il suo invito a promuovere l'istituzione di un sistema  di flusso regolare e continuo di intelligence dagli Stati membri al SEAE e fra gli Stati  membri dell'UE sulle questioni di politica estera e di sicurezza che si verificano al di  fuori dell'Unione; sottolinea l'importanza di comunicazioni sicure e di un livello elevato  di sicurezza delle informazioni per un'intelligence affidabile e chiede che siano profusi  sforzi per migliorare e ottimizzare le norme e i regolamenti di sicurezza a tal proposito,  al fine di proteggere meglio le informazioni sensibili, le infrastrutture e i sistemi di  comunicazione da interferenze e attacchi stranieri; </w:t>
      </w:r>
    </w:p>
    <w:p w:rsidR="00A95CCD" w:rsidRDefault="00B6332E">
      <w:pPr>
        <w:pStyle w:val="normal"/>
        <w:widowControl w:val="0"/>
        <w:pBdr>
          <w:top w:val="nil"/>
          <w:left w:val="nil"/>
          <w:bottom w:val="nil"/>
          <w:right w:val="nil"/>
          <w:between w:val="nil"/>
        </w:pBdr>
        <w:spacing w:before="246" w:line="229" w:lineRule="auto"/>
        <w:ind w:left="613" w:right="219"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141. chiede che siano effettuate regolarmente valutazioni congiunte delle minacce, con il  contributo dei servizi di intelligence degli Stati membri, al fine di informare gli organi </w:t>
      </w:r>
    </w:p>
    <w:p w:rsidR="00A95CCD" w:rsidRDefault="00B6332E">
      <w:pPr>
        <w:pStyle w:val="normal"/>
        <w:widowControl w:val="0"/>
        <w:pBdr>
          <w:top w:val="nil"/>
          <w:left w:val="nil"/>
          <w:bottom w:val="nil"/>
          <w:right w:val="nil"/>
          <w:between w:val="nil"/>
        </w:pBdr>
        <w:spacing w:line="229" w:lineRule="auto"/>
        <w:ind w:left="604" w:right="192" w:firstLine="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decisionali della PSDC e ribadisce la richiesta di dispiegare capacità per la raccolta di  intelligence in tutte le missioni e le operazioni PSDC, in modo da fornire informazioni  all'INTCEN dell'UE, allo Stato maggiore dell'UE (EUMS), alla capacità militare di  pianificazione e condotta (MPCC) e alla capacità civile di pianificazione e condotta  (CPCC); </w:t>
      </w:r>
    </w:p>
    <w:p w:rsidR="00A95CCD" w:rsidRDefault="00B6332E">
      <w:pPr>
        <w:pStyle w:val="normal"/>
        <w:widowControl w:val="0"/>
        <w:pBdr>
          <w:top w:val="nil"/>
          <w:left w:val="nil"/>
          <w:bottom w:val="nil"/>
          <w:right w:val="nil"/>
          <w:between w:val="nil"/>
        </w:pBdr>
        <w:spacing w:before="246" w:line="240" w:lineRule="auto"/>
        <w:ind w:left="31"/>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Difesa dagli attacchi ibridi e dalla disinformazione </w:t>
      </w:r>
    </w:p>
    <w:p w:rsidR="00A95CCD" w:rsidRDefault="00B6332E">
      <w:pPr>
        <w:pStyle w:val="normal"/>
        <w:widowControl w:val="0"/>
        <w:pBdr>
          <w:top w:val="nil"/>
          <w:left w:val="nil"/>
          <w:bottom w:val="nil"/>
          <w:right w:val="nil"/>
          <w:between w:val="nil"/>
        </w:pBdr>
        <w:spacing w:before="235" w:line="229" w:lineRule="auto"/>
        <w:ind w:left="604" w:right="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142. esprime una profonda preoccupazione per le sfide crescenti in materia di sicurezza poste  dagli attacchi informatici e ibridi, come pure dalla FIMI, tutte intese, fra l'altro, a minare  la stabilità delle società democratiche dell'UE – soprattutto in territori dell'UE lontani  dal continente – e le alleanze fra gli Stati membri dell'UE, nonché a favorire la  polarizzazione, specialmente alla vigilia di elezioni; sottolinea che gli Stati membri, in  particolare quelli situati alle frontiere esterne orientali dell'UE, sono vulnerabili a simili  influenze ostili da parte della Russia e della Bielorussia; apprezza la collaborazione  istituzionale instaurata a livello amministrativo tra la Commissione, il SEAE e il  Parlamento durante la scorsa campagna elettorale europea per prevenire un uso  massiccio della FIMI da parte di soggetti malevoli, statali e non statali, di paesi terzi;  invita le amministrazioni della Commissione, del SEAE e del Parlamento a rafforzare la  loro capacità di diventare più resilienti dinanzi agli attacchi ibridi e alla FIMI;  sottolinea, a tale proposito, la recente decisione della Corte costituzionale rumena di  annullare il primo turno delle elezioni presidenziali dopo che erano stati segnalati  massicci attacchi ibridi condotti dalla Russia, in particolare attraverso le piattaforme dei  social media; invita inoltre le amministrazioni del SEAE e del Parlamento a cooperare  strettamente con il settore privato, la società civile e la comunità accademica e  scientifica nel contrastare le campagne di influenza malevola e le minacce ibride, fra cui  la strumentalizzazione delle nuove tecnologie a fini bellici; </w:t>
      </w:r>
    </w:p>
    <w:p w:rsidR="00A95CCD" w:rsidRDefault="00B6332E">
      <w:pPr>
        <w:pStyle w:val="normal"/>
        <w:widowControl w:val="0"/>
        <w:pBdr>
          <w:top w:val="nil"/>
          <w:left w:val="nil"/>
          <w:bottom w:val="nil"/>
          <w:right w:val="nil"/>
          <w:between w:val="nil"/>
        </w:pBdr>
        <w:spacing w:before="246" w:line="229" w:lineRule="auto"/>
        <w:ind w:left="604" w:right="1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143. sostiene l'impegno a istituire uno "scudo europeo per la democrazia" e ribadisce il  proprio invito agli Stati membri, alla Commissione e al SEAE a prendere in  considerazione l'istituzione di una struttura indipendente e dotata di risorse adeguate  incaricata di individuare, analizzare e documentare le minacce di FIMI contro l'UE nel  suo complesso, di individuare, rintracciare e richiedere l'eliminazione dei contenuti  online ingannevoli, di aumentare la conoscenza situazionale e la condivisione di  intelligence sulle minacce, nonché di sviluppare capacità di attribuzione e contromisure  in relazione alla FIMI; ritiene che tale struttura fungerebbe da punto di riferimento e da  polo di conoscenze specializzato per facilitare e promuovere lo scambio operativo tra le  autorità degli Stati membri e le istituzioni dell'UE; sottolinea che la struttura dovrebbe  chiarire e rafforzare il ruolo della divisione per le comunicazioni strategiche del SEAE e  delle sue task </w:t>
      </w:r>
      <w:proofErr w:type="spellStart"/>
      <w:r>
        <w:rPr>
          <w:rFonts w:ascii="Times New Roman" w:eastAsia="Times New Roman" w:hAnsi="Times New Roman" w:cs="Times New Roman"/>
          <w:color w:val="000000"/>
          <w:sz w:val="24"/>
          <w:szCs w:val="24"/>
        </w:rPr>
        <w:t>force</w:t>
      </w:r>
      <w:proofErr w:type="spellEnd"/>
      <w:r>
        <w:rPr>
          <w:rFonts w:ascii="Times New Roman" w:eastAsia="Times New Roman" w:hAnsi="Times New Roman" w:cs="Times New Roman"/>
          <w:color w:val="000000"/>
          <w:sz w:val="24"/>
          <w:szCs w:val="24"/>
        </w:rPr>
        <w:t xml:space="preserve"> come organo strategico del servizio diplomatico dell'UE ed evitare  la sovrapposizione delle attività; sottolinea la propria decisione di istituire, in seno al  Parlamento europeo, una commissione speciale sullo scudo europeo per la democrazia e  ritiene che sia un modo importante per consolidare gli sforzi europei in tale ambito; </w:t>
      </w:r>
    </w:p>
    <w:p w:rsidR="00A95CCD" w:rsidRDefault="00B6332E">
      <w:pPr>
        <w:pStyle w:val="normal"/>
        <w:widowControl w:val="0"/>
        <w:pBdr>
          <w:top w:val="nil"/>
          <w:left w:val="nil"/>
          <w:bottom w:val="nil"/>
          <w:right w:val="nil"/>
          <w:between w:val="nil"/>
        </w:pBdr>
        <w:spacing w:before="246" w:line="229" w:lineRule="auto"/>
        <w:ind w:left="66" w:right="7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144. sottolinea l'importanza di intensificare gli sforzi per combattere la disinformazione  promossa da attori stranieri che intendono minare la credibilità dell'UE, in particolare  nei paesi candidati all'adesione o vicini all'UE e nelle regioni in cui sono in corso  operazioni e missioni PSDC; sottolinea che occorre rafforzare significativamente il  coordinamento tra il SEAE e le pertinenti agenzie dell'UE, fra cui l'Agenzia dell'UE per  la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(ENISA), e le autorità competenti a livello degli Stati membri per  poter sviluppare strategie coerenti ed efficaci contro la FIMI; sottolinea, a tale  proposito, la necessità di una comunicazione strategica e preventiva e invita tutte le </w:t>
      </w:r>
    </w:p>
    <w:p w:rsidR="00A95CCD" w:rsidRDefault="00B6332E">
      <w:pPr>
        <w:pStyle w:val="normal"/>
        <w:widowControl w:val="0"/>
        <w:pBdr>
          <w:top w:val="nil"/>
          <w:left w:val="nil"/>
          <w:bottom w:val="nil"/>
          <w:right w:val="nil"/>
          <w:between w:val="nil"/>
        </w:pBdr>
        <w:spacing w:line="229" w:lineRule="auto"/>
        <w:ind w:left="604" w:right="290" w:firstLine="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istituzioni dell'UE a collaborare con il SEAE per rafforzare la visibilità, la percezione  positiva e la legittimità delle azioni esterne dell'UE;  </w:t>
      </w:r>
    </w:p>
    <w:p w:rsidR="00A95CCD" w:rsidRDefault="00B6332E">
      <w:pPr>
        <w:pStyle w:val="normal"/>
        <w:widowControl w:val="0"/>
        <w:pBdr>
          <w:top w:val="nil"/>
          <w:left w:val="nil"/>
          <w:bottom w:val="nil"/>
          <w:right w:val="nil"/>
          <w:between w:val="nil"/>
        </w:pBdr>
        <w:spacing w:before="246" w:line="229" w:lineRule="auto"/>
        <w:ind w:left="66" w:right="10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145. ritiene che, negli anni a venire, nelle minacce ibride vi sarà una combinazione di guerra  dell'informazione, manovre di forza agili, guerra informatica di massa e tecnologie  emergenti e di rottura, dai fondali marini allo spazio, con il dispiegamento di sistemi  avanzati di attacco e intelligence aerei e spaziali, tutti eventualmente abilitati con  intelligenza artificiale (IA), calcolo quantistico, tecnologie con sciami di </w:t>
      </w:r>
      <w:proofErr w:type="spellStart"/>
      <w:r>
        <w:rPr>
          <w:rFonts w:ascii="Times New Roman" w:eastAsia="Times New Roman" w:hAnsi="Times New Roman" w:cs="Times New Roman"/>
          <w:color w:val="000000"/>
          <w:sz w:val="24"/>
          <w:szCs w:val="24"/>
        </w:rPr>
        <w:t>droni</w:t>
      </w:r>
      <w:proofErr w:type="spellEnd"/>
      <w:r>
        <w:rPr>
          <w:rFonts w:ascii="Times New Roman" w:eastAsia="Times New Roman" w:hAnsi="Times New Roman" w:cs="Times New Roman"/>
          <w:color w:val="000000"/>
          <w:sz w:val="24"/>
          <w:szCs w:val="24"/>
        </w:rPr>
        <w:t xml:space="preserve"> sempre  più "intelligenti", capacità informatiche offensive, sistemi di missili ipersonici,  nanotecnologie e guerra biologica; riconosce, in particolare, il ruolo crescente dell'IA  nella guerra ibrida e il suo potenziale utilizzo al fine di indebolire le istituzioni  democratiche, diffondere la disinformazione, perturbare infrastrutture critiche e  influenzare l'opinione pubblica attraverso operazioni automatizzate e basate sui dati; </w:t>
      </w:r>
    </w:p>
    <w:p w:rsidR="00A95CCD" w:rsidRDefault="00B6332E">
      <w:pPr>
        <w:pStyle w:val="normal"/>
        <w:widowControl w:val="0"/>
        <w:pBdr>
          <w:top w:val="nil"/>
          <w:left w:val="nil"/>
          <w:bottom w:val="nil"/>
          <w:right w:val="nil"/>
          <w:between w:val="nil"/>
        </w:pBdr>
        <w:spacing w:before="246" w:line="229" w:lineRule="auto"/>
        <w:ind w:left="606" w:right="106"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146. chiede l'adozione di misure proattive, strategiche e coordinate a livello dell'UE intese a  contrastare le minacce ibride e a rafforzare la sicurezza e l'integrità delle infrastrutture  critiche dell'UE, eliminando i rischi e promuovendo il vantaggio tecnologico dell'UE in  settori critici, fra cui misure intese a limitare o escludere i fornitori ad alto rischio;  sottolinea, in tale contesto, l'importanza del progetto PESCO che mira a istituire un  Centro di coordinamento nel settore informatico e dell'informazione (CIDCC) per  sostenere la pianificazione e lo svolgimento delle missioni e delle operazioni dell'UE  con capacità nel settore informatico e dell'informazione, nonché per migliorare la  resilienza complessiva dell'UE in tale ambito; chiede, pertanto, la sua integrazione a  titolo permanente nella PSDC;  </w:t>
      </w:r>
    </w:p>
    <w:p w:rsidR="00A95CCD" w:rsidRDefault="00B6332E">
      <w:pPr>
        <w:pStyle w:val="normal"/>
        <w:widowControl w:val="0"/>
        <w:pBdr>
          <w:top w:val="nil"/>
          <w:left w:val="nil"/>
          <w:bottom w:val="nil"/>
          <w:right w:val="nil"/>
          <w:between w:val="nil"/>
        </w:pBdr>
        <w:spacing w:before="246" w:line="229" w:lineRule="auto"/>
        <w:ind w:left="66" w:right="16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147. condanna le continue azioni malevole da parte della Russia e della Bielorussia volte a  destabilizzare l'UE spingendo i migranti a entrare forzosamente in paesi dell'UE, il che  costituisce un attacco ibrido; invita l'UE a rivedere e aggiornare le sue politiche di  rafforzamento delle frontiere esterne, anche mediante il finanziamento di barriere  fisiche, in modo da potenziare la sicurezza dell'Unione nel suo complesso;  </w:t>
      </w:r>
    </w:p>
    <w:p w:rsidR="00A95CCD" w:rsidRDefault="00B6332E">
      <w:pPr>
        <w:pStyle w:val="normal"/>
        <w:widowControl w:val="0"/>
        <w:pBdr>
          <w:top w:val="nil"/>
          <w:left w:val="nil"/>
          <w:bottom w:val="nil"/>
          <w:right w:val="nil"/>
          <w:between w:val="nil"/>
        </w:pBdr>
        <w:spacing w:before="246" w:line="240" w:lineRule="auto"/>
        <w:ind w:left="54"/>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Cibersicurezza</w:t>
      </w:r>
      <w:proofErr w:type="spellEnd"/>
      <w:r>
        <w:rPr>
          <w:rFonts w:ascii="Times New Roman" w:eastAsia="Times New Roman" w:hAnsi="Times New Roman" w:cs="Times New Roman"/>
          <w:i/>
          <w:color w:val="000000"/>
          <w:sz w:val="24"/>
          <w:szCs w:val="24"/>
        </w:rPr>
        <w:t xml:space="preserve"> </w:t>
      </w:r>
    </w:p>
    <w:p w:rsidR="00A95CCD" w:rsidRDefault="00B6332E">
      <w:pPr>
        <w:pStyle w:val="normal"/>
        <w:widowControl w:val="0"/>
        <w:pBdr>
          <w:top w:val="nil"/>
          <w:left w:val="nil"/>
          <w:bottom w:val="nil"/>
          <w:right w:val="nil"/>
          <w:between w:val="nil"/>
        </w:pBdr>
        <w:spacing w:before="235" w:line="229" w:lineRule="auto"/>
        <w:ind w:left="612" w:right="30" w:hanging="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 plaude all'adozione del regolamento sulla cibersolidarietà</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e alla sua importanza per le  capacità di </w:t>
      </w:r>
      <w:proofErr w:type="spellStart"/>
      <w:r>
        <w:rPr>
          <w:rFonts w:ascii="Times New Roman" w:eastAsia="Times New Roman" w:hAnsi="Times New Roman" w:cs="Times New Roman"/>
          <w:color w:val="000000"/>
          <w:sz w:val="24"/>
          <w:szCs w:val="24"/>
        </w:rPr>
        <w:t>ciberdifesa</w:t>
      </w:r>
      <w:proofErr w:type="spellEnd"/>
      <w:r>
        <w:rPr>
          <w:rFonts w:ascii="Times New Roman" w:eastAsia="Times New Roman" w:hAnsi="Times New Roman" w:cs="Times New Roman"/>
          <w:color w:val="000000"/>
          <w:sz w:val="24"/>
          <w:szCs w:val="24"/>
        </w:rPr>
        <w:t xml:space="preserve"> degli Stati membri; sostiene la promozione di piattaforme per la  condivisione e l'analisi delle informazioni e chiede che ciò venga ampliato per includere  la condivisione di informazioni sulle minacce o sulle vulnerabilità con i centri operativi  di sicurezza (SOC) transfrontalieri; chiede un piano di finanziamento più chiaro, che  specifichi l'importo dei fondi destinato all'attuazione del regolamento; </w:t>
      </w:r>
    </w:p>
    <w:p w:rsidR="00A95CCD" w:rsidRDefault="00B6332E">
      <w:pPr>
        <w:pStyle w:val="normal"/>
        <w:widowControl w:val="0"/>
        <w:pBdr>
          <w:top w:val="nil"/>
          <w:left w:val="nil"/>
          <w:bottom w:val="nil"/>
          <w:right w:val="nil"/>
          <w:between w:val="nil"/>
        </w:pBdr>
        <w:spacing w:before="246" w:line="229" w:lineRule="auto"/>
        <w:ind w:left="66" w:right="19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149. è preoccupato per il ritardo di numerosi Stati membri nell'attuazione della direttiva  relativa a misure per un livello comune elevato di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nell'Unione (direttiva  NIS 2)</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e chiede la sua rapida attuazione per mettere in sicurezza le infrastrutture  </w:t>
      </w:r>
    </w:p>
    <w:p w:rsidR="00A95CCD" w:rsidRDefault="00B6332E">
      <w:pPr>
        <w:pStyle w:val="normal"/>
        <w:widowControl w:val="0"/>
        <w:pBdr>
          <w:top w:val="nil"/>
          <w:left w:val="nil"/>
          <w:bottom w:val="nil"/>
          <w:right w:val="nil"/>
          <w:between w:val="nil"/>
        </w:pBdr>
        <w:spacing w:before="284" w:line="216" w:lineRule="auto"/>
        <w:ind w:left="606" w:right="67" w:hanging="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Regolamento (UE) 2025/38 del Parlamento europeo e del Consiglio, del 19 dicembre  2024, che stabilisce misure intese a rafforzare la solidarietà e le capacità dell'Unione di  rilevamento delle minacce e degli incidenti informatici, e di preparazione e risposta agli  stessi, e che modifica il regolamento (UE) 2021/694 (regolamento sulla  </w:t>
      </w:r>
      <w:proofErr w:type="spellStart"/>
      <w:r>
        <w:rPr>
          <w:rFonts w:ascii="Times New Roman" w:eastAsia="Times New Roman" w:hAnsi="Times New Roman" w:cs="Times New Roman"/>
          <w:color w:val="000000"/>
          <w:sz w:val="24"/>
          <w:szCs w:val="24"/>
        </w:rPr>
        <w:t>cibersolidarietà</w:t>
      </w:r>
      <w:proofErr w:type="spellEnd"/>
      <w:r>
        <w:rPr>
          <w:rFonts w:ascii="Times New Roman" w:eastAsia="Times New Roman" w:hAnsi="Times New Roman" w:cs="Times New Roman"/>
          <w:color w:val="000000"/>
          <w:sz w:val="24"/>
          <w:szCs w:val="24"/>
        </w:rPr>
        <w:t xml:space="preserve">), GU L, 2025/38, 15.1.2025, ELI:  </w:t>
      </w:r>
    </w:p>
    <w:p w:rsidR="00A95CCD" w:rsidRDefault="00B6332E">
      <w:pPr>
        <w:pStyle w:val="normal"/>
        <w:widowControl w:val="0"/>
        <w:pBdr>
          <w:top w:val="nil"/>
          <w:left w:val="nil"/>
          <w:bottom w:val="nil"/>
          <w:right w:val="nil"/>
          <w:between w:val="nil"/>
        </w:pBdr>
        <w:spacing w:before="3" w:line="240" w:lineRule="auto"/>
        <w:ind w:left="60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http://data.europa.eu/eli/reg/2025/38/oj</w:t>
      </w: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line="216" w:lineRule="auto"/>
        <w:ind w:left="606" w:right="186" w:hanging="5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24"/>
          <w:szCs w:val="24"/>
        </w:rPr>
        <w:t xml:space="preserve">Direttiva (UE) 2022/2555 del Parlamento europeo e del Consiglio, del 14 dicembre  2022, relativa a misure per un livello comune elevato di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nell'Unione,  recante modifica del regolamento (UE) n. 910/2014 e della direttiva (UE) 2018/1972 e </w:t>
      </w:r>
    </w:p>
    <w:p w:rsidR="00A95CCD" w:rsidRDefault="00B6332E">
      <w:pPr>
        <w:pStyle w:val="normal"/>
        <w:widowControl w:val="0"/>
        <w:pBdr>
          <w:top w:val="nil"/>
          <w:left w:val="nil"/>
          <w:bottom w:val="nil"/>
          <w:right w:val="nil"/>
          <w:between w:val="nil"/>
        </w:pBdr>
        <w:spacing w:line="229" w:lineRule="auto"/>
        <w:ind w:left="612" w:right="2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critiche europee; invita il VP/AR a sincronizzare meglio e a utilizzare più attivamente  </w:t>
      </w:r>
      <w:r>
        <w:rPr>
          <w:rFonts w:ascii="Times New Roman" w:eastAsia="Times New Roman" w:hAnsi="Times New Roman" w:cs="Times New Roman"/>
          <w:color w:val="000000"/>
          <w:sz w:val="24"/>
          <w:szCs w:val="24"/>
        </w:rPr>
        <w:lastRenderedPageBreak/>
        <w:t xml:space="preserve">gli strumenti sanzionatori informatici, ibridi e relativi alla FIMI, valutando nel  contempo possibili modalità per applicare sanzioni settoriali; </w:t>
      </w:r>
    </w:p>
    <w:p w:rsidR="00A95CCD" w:rsidRDefault="00B6332E">
      <w:pPr>
        <w:pStyle w:val="normal"/>
        <w:widowControl w:val="0"/>
        <w:pBdr>
          <w:top w:val="nil"/>
          <w:left w:val="nil"/>
          <w:bottom w:val="nil"/>
          <w:right w:val="nil"/>
          <w:between w:val="nil"/>
        </w:pBdr>
        <w:spacing w:before="246" w:line="240" w:lineRule="auto"/>
        <w:ind w:left="3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Spazio </w:t>
      </w:r>
    </w:p>
    <w:p w:rsidR="00A95CCD" w:rsidRDefault="00B6332E">
      <w:pPr>
        <w:pStyle w:val="normal"/>
        <w:widowControl w:val="0"/>
        <w:pBdr>
          <w:top w:val="nil"/>
          <w:left w:val="nil"/>
          <w:bottom w:val="nil"/>
          <w:right w:val="nil"/>
          <w:between w:val="nil"/>
        </w:pBdr>
        <w:spacing w:before="235" w:line="229" w:lineRule="auto"/>
        <w:ind w:left="604" w:right="6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150. apprezza le conclusioni e le raccomandazioni figuranti nella relazione di Mario Draghi  sul futuro della competitività europea, che incoraggia gli Stati membri ad aggiornare le  norme in materia di </w:t>
      </w:r>
      <w:proofErr w:type="spellStart"/>
      <w:r>
        <w:rPr>
          <w:rFonts w:ascii="Times New Roman" w:eastAsia="Times New Roman" w:hAnsi="Times New Roman" w:cs="Times New Roman"/>
          <w:color w:val="000000"/>
          <w:sz w:val="24"/>
          <w:szCs w:val="24"/>
        </w:rPr>
        <w:t>governance</w:t>
      </w:r>
      <w:proofErr w:type="spellEnd"/>
      <w:r>
        <w:rPr>
          <w:rFonts w:ascii="Times New Roman" w:eastAsia="Times New Roman" w:hAnsi="Times New Roman" w:cs="Times New Roman"/>
          <w:color w:val="000000"/>
          <w:sz w:val="24"/>
          <w:szCs w:val="24"/>
        </w:rPr>
        <w:t xml:space="preserve"> e investimenti nel settore spaziale, in particolare per i  settori correlati alla difesa; invita la Commissione e gli Stati membri a investire  adeguatamente in tale settore nel contesto del prossimo QFP, anche prendendo in  considerazione altri strumenti di finanziamento; evidenzia, in particolare, la necessità di  sviluppare ulteriormente il programma spaziale europeo, in considerazione dei forti  collegamenti tra il settore spaziale e quello della difesa e della sicurezza, in sede di  programmazione del nuovo QFP; sottolinea l'importanza di migliorare la cooperazione  tra la Commissione e l'Agenzia spaziale europea per evitare la duplicazione degli sforzi  e garantire un uso più efficiente delle risorse; invita a promuovere la cooperazione  transatlantica e le sinergie con la NATO per garantire un coordinamento efficace nello  sviluppo delle capacità spaziali e di difesa; </w:t>
      </w:r>
    </w:p>
    <w:p w:rsidR="00A95CCD" w:rsidRDefault="00B6332E">
      <w:pPr>
        <w:pStyle w:val="normal"/>
        <w:widowControl w:val="0"/>
        <w:pBdr>
          <w:top w:val="nil"/>
          <w:left w:val="nil"/>
          <w:bottom w:val="nil"/>
          <w:right w:val="nil"/>
          <w:between w:val="nil"/>
        </w:pBdr>
        <w:spacing w:before="246" w:line="229" w:lineRule="auto"/>
        <w:ind w:left="604" w:right="2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151. evidenzia che gli attuali pilastri dell'UE nel settore spaziale – il programma globale di  navigazione satellitare Galileo e il programma di osservazione della Terra </w:t>
      </w:r>
      <w:proofErr w:type="spellStart"/>
      <w:r>
        <w:rPr>
          <w:rFonts w:ascii="Times New Roman" w:eastAsia="Times New Roman" w:hAnsi="Times New Roman" w:cs="Times New Roman"/>
          <w:color w:val="000000"/>
          <w:sz w:val="24"/>
          <w:szCs w:val="24"/>
        </w:rPr>
        <w:t>Copernicus</w:t>
      </w:r>
      <w:proofErr w:type="spellEnd"/>
      <w:r>
        <w:rPr>
          <w:rFonts w:ascii="Times New Roman" w:eastAsia="Times New Roman" w:hAnsi="Times New Roman" w:cs="Times New Roman"/>
          <w:color w:val="000000"/>
          <w:sz w:val="24"/>
          <w:szCs w:val="24"/>
        </w:rPr>
        <w:t xml:space="preserve"> –  hanno un chiaro potenziale a duplice uso nello sviluppo di applicazioni e servizi  spaziali; sottolinea l'importanza di istituire, quale terzo pilastro del programma spaziale  dell'UE, la costellazione satellitare IRIS2 con l'obiettivo di fornire servizi di  comunicazione sicuri all'UE e ai suoi Stati membri nonché connettività a banda larga  per i cittadini, le aziende private e le autorità governative in Europa; raccomanda di  accordare l'accesso alla costellazione satellitare IRIS2 a Taiwan e all'Ucraina; sottolinea  che, oltre alle comunicazioni satellitari, settori come il posizionamento, la navigazione e  la sincronizzazione, come pure l'osservazione della Terra, sono essenziali nel  rafforzamento dell'autonomia strategica e della resilienza dell'UE; evidenzia che lo  sviluppo di tali capacità contribuisce direttamente all'approntamento di una risposta  efficace alle crisi e alla protezione delle infrastrutture critiche; chiede, pertanto, che  siano presi in considerazione nuovi programmi spaziali dell'UE, il che consentirebbe  all'UE di rafforzare la sua autonomia strategica e il suo status di potenza spaziale  globale; </w:t>
      </w:r>
    </w:p>
    <w:p w:rsidR="00A95CCD" w:rsidRDefault="00B6332E">
      <w:pPr>
        <w:pStyle w:val="normal"/>
        <w:widowControl w:val="0"/>
        <w:pBdr>
          <w:top w:val="nil"/>
          <w:left w:val="nil"/>
          <w:bottom w:val="nil"/>
          <w:right w:val="nil"/>
          <w:between w:val="nil"/>
        </w:pBdr>
        <w:spacing w:before="246" w:line="229" w:lineRule="auto"/>
        <w:ind w:left="604" w:right="104"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152. prende atto dell'inadeguatezza delle capacità dei veicoli di lancio e delle comunicazioni  satellitari all'interno dell'UE; sottolinea l'importanza strategica di promuovere e  potenziare tali capacità per consentire all'UE di sostenere efficacemente gli Stati  membri e le missioni e le operazioni PSDC, mantenendo nel contempo un  atteggiamento resiliente e autonomo; evidenzia che lo sviluppo di soluzioni guidate  dall'UE in tale ambito è essenziale per proteggere le infrastrutture critiche e per  garantire una presenza sicura e competitiva nel settore spaziale; </w:t>
      </w:r>
    </w:p>
    <w:p w:rsidR="00A95CCD" w:rsidRDefault="00B6332E">
      <w:pPr>
        <w:pStyle w:val="normal"/>
        <w:widowControl w:val="0"/>
        <w:pBdr>
          <w:top w:val="nil"/>
          <w:left w:val="nil"/>
          <w:bottom w:val="nil"/>
          <w:right w:val="nil"/>
          <w:between w:val="nil"/>
        </w:pBdr>
        <w:spacing w:before="246" w:line="229" w:lineRule="auto"/>
        <w:ind w:left="66" w:right="193"/>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 invita gli Stati membri ad affrontare la minaccia crescente di "</w:t>
      </w:r>
      <w:proofErr w:type="spellStart"/>
      <w:r>
        <w:rPr>
          <w:rFonts w:ascii="Times New Roman" w:eastAsia="Times New Roman" w:hAnsi="Times New Roman" w:cs="Times New Roman"/>
          <w:color w:val="000000"/>
          <w:sz w:val="24"/>
          <w:szCs w:val="24"/>
        </w:rPr>
        <w:t>arsenalizzazione</w:t>
      </w:r>
      <w:proofErr w:type="spellEnd"/>
      <w:r>
        <w:rPr>
          <w:rFonts w:ascii="Times New Roman" w:eastAsia="Times New Roman" w:hAnsi="Times New Roman" w:cs="Times New Roman"/>
          <w:color w:val="000000"/>
          <w:sz w:val="24"/>
          <w:szCs w:val="24"/>
        </w:rPr>
        <w:t xml:space="preserve">" dello  spazio, con particolare riferimento alle segnalazioni in merito ai progressi della Russia  in materia di tecnologia delle armi nucleari spaziali, cosa che costituirebbe una palese  </w:t>
      </w:r>
    </w:p>
    <w:p w:rsidR="00A95CCD" w:rsidRDefault="00B6332E">
      <w:pPr>
        <w:pStyle w:val="normal"/>
        <w:widowControl w:val="0"/>
        <w:pBdr>
          <w:top w:val="nil"/>
          <w:left w:val="nil"/>
          <w:bottom w:val="nil"/>
          <w:right w:val="nil"/>
          <w:between w:val="nil"/>
        </w:pBdr>
        <w:spacing w:before="688" w:line="240" w:lineRule="auto"/>
        <w:ind w:left="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che abroga la direttiva (UE) 2016/1148 (direttiva NIS 2), ELI:  </w:t>
      </w:r>
    </w:p>
    <w:p w:rsidR="00A95CCD" w:rsidRDefault="00B6332E">
      <w:pPr>
        <w:pStyle w:val="normal"/>
        <w:widowControl w:val="0"/>
        <w:pBdr>
          <w:top w:val="nil"/>
          <w:left w:val="nil"/>
          <w:bottom w:val="nil"/>
          <w:right w:val="nil"/>
          <w:between w:val="nil"/>
        </w:pBdr>
        <w:spacing w:line="240" w:lineRule="auto"/>
        <w:ind w:left="606"/>
        <w:rPr>
          <w:rFonts w:ascii="Times New Roman" w:eastAsia="Times New Roman" w:hAnsi="Times New Roman" w:cs="Times New Roman"/>
          <w:color w:val="000000"/>
          <w:sz w:val="24"/>
          <w:szCs w:val="24"/>
        </w:rPr>
      </w:pPr>
      <w:r>
        <w:rPr>
          <w:rFonts w:ascii="Times New Roman" w:eastAsia="Times New Roman" w:hAnsi="Times New Roman" w:cs="Times New Roman"/>
          <w:color w:val="0563C1"/>
          <w:sz w:val="24"/>
          <w:szCs w:val="24"/>
          <w:u w:val="single"/>
        </w:rPr>
        <w:t>http://data.europa.eu/eli/dir/2022/2555/2022-12-27</w:t>
      </w:r>
      <w:r>
        <w:rPr>
          <w:rFonts w:ascii="Times New Roman" w:eastAsia="Times New Roman" w:hAnsi="Times New Roman" w:cs="Times New Roman"/>
          <w:color w:val="000000"/>
          <w:sz w:val="24"/>
          <w:szCs w:val="24"/>
        </w:rPr>
        <w:t>.</w:t>
      </w:r>
    </w:p>
    <w:p w:rsidR="00A95CCD" w:rsidRDefault="00B6332E">
      <w:pPr>
        <w:pStyle w:val="normal"/>
        <w:widowControl w:val="0"/>
        <w:pBdr>
          <w:top w:val="nil"/>
          <w:left w:val="nil"/>
          <w:bottom w:val="nil"/>
          <w:right w:val="nil"/>
          <w:between w:val="nil"/>
        </w:pBdr>
        <w:spacing w:line="240" w:lineRule="auto"/>
        <w:ind w:left="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violazione del trattato sullo spazio extra-atmosferico del 1967; </w:t>
      </w:r>
    </w:p>
    <w:p w:rsidR="00A95CCD" w:rsidRDefault="00B6332E">
      <w:pPr>
        <w:pStyle w:val="normal"/>
        <w:widowControl w:val="0"/>
        <w:pBdr>
          <w:top w:val="nil"/>
          <w:left w:val="nil"/>
          <w:bottom w:val="nil"/>
          <w:right w:val="nil"/>
          <w:between w:val="nil"/>
        </w:pBdr>
        <w:spacing w:before="235" w:line="240" w:lineRule="auto"/>
        <w:ind w:left="39"/>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 xml:space="preserve">Settore marittimo </w:t>
      </w:r>
    </w:p>
    <w:p w:rsidR="00A95CCD" w:rsidRDefault="00B6332E">
      <w:pPr>
        <w:pStyle w:val="normal"/>
        <w:widowControl w:val="0"/>
        <w:pBdr>
          <w:top w:val="nil"/>
          <w:left w:val="nil"/>
          <w:bottom w:val="nil"/>
          <w:right w:val="nil"/>
          <w:between w:val="nil"/>
        </w:pBdr>
        <w:spacing w:before="235" w:line="229" w:lineRule="auto"/>
        <w:ind w:left="604" w:right="14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154. sottolinea che, dinanzi alle crescenti tensioni geopolitiche nel settore marittimo, l'UE  deve intensificare le sue attività in mare, guidando la conoscenza del settore marittimo,  proteggendo le infrastrutture critiche, garantendo un controllo efficace delle sue  frontiere marittime esterne al fine di contrastare le organizzazioni criminali che  traggono profitto dal traffico di immigrati illegali negli Stati membri, in particolare nel  Mar Mediterraneo e nell'Oceano Atlantico, e contribuendo a garantire la libertà di  navigazione, la sicurezza delle linee di comunicazione marittime e delle sue navi e dei  relativi equipaggi, come pure a contrastare la pesca illegale, non dichiarata e non  regolamentata;  </w:t>
      </w:r>
    </w:p>
    <w:p w:rsidR="00A95CCD" w:rsidRDefault="00B6332E">
      <w:pPr>
        <w:pStyle w:val="normal"/>
        <w:widowControl w:val="0"/>
        <w:pBdr>
          <w:top w:val="nil"/>
          <w:left w:val="nil"/>
          <w:bottom w:val="nil"/>
          <w:right w:val="nil"/>
          <w:between w:val="nil"/>
        </w:pBdr>
        <w:spacing w:before="246" w:line="229" w:lineRule="auto"/>
        <w:ind w:left="66" w:right="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155. sottolinea l'impegno a rafforzare il ruolo dell'UE come garante della sicurezza marittima  internazionale; sottolinea, in tal senso, l'importanza del concetto delle presenze  marittime coordinate, che rafforza il ruolo dell'UE come fornitore di sicurezza marittima  globale e la sua visibilità in regioni marittime strategiche, ed evidenzia il lavoro svolto  dalle presenze marittime coordinate nel Golfo di Guinea e nell'Oceano Indiano  nordoccidentale; invita gli Stati membri a impegnarsi attivamente in tali iniziative e a  sviluppare le rispettive capacità navali militari al fine di rafforzare la presenza e la  visibilità dell'UE nel settore marittimo mondiale; raccomanda l'espansione delle  presenze marittime coordinate ad altre aree marittime strategiche in tutto il mondo; </w:t>
      </w:r>
    </w:p>
    <w:p w:rsidR="00A95CCD" w:rsidRDefault="00B6332E">
      <w:pPr>
        <w:pStyle w:val="normal"/>
        <w:widowControl w:val="0"/>
        <w:pBdr>
          <w:top w:val="nil"/>
          <w:left w:val="nil"/>
          <w:bottom w:val="nil"/>
          <w:right w:val="nil"/>
          <w:between w:val="nil"/>
        </w:pBdr>
        <w:spacing w:before="246" w:line="229" w:lineRule="auto"/>
        <w:ind w:left="604" w:right="107"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156. esprime una profonda preoccupazione per la sorveglianza e il sabotaggio da parte della  Russia e della Cina di infrastrutture marittime critiche, come i cavi di comunicazione  sui fondali marini e gli impianti energetici offshore; esprime, in particolare, una  profonda preoccupazione per i danni arrecati nell'arco di nemmeno 24 ore, il 17 e il 18  novembre 2024, </w:t>
      </w:r>
      <w:r>
        <w:rPr>
          <w:rFonts w:ascii="Times New Roman" w:eastAsia="Times New Roman" w:hAnsi="Times New Roman" w:cs="Times New Roman"/>
          <w:color w:val="000000"/>
          <w:sz w:val="24"/>
          <w:szCs w:val="24"/>
          <w:highlight w:val="white"/>
        </w:rPr>
        <w:t xml:space="preserve">a due cavi di comunicazione sottomarini che collegano,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rispettivamente,</w:t>
      </w:r>
      <w:r>
        <w:rPr>
          <w:rFonts w:ascii="Times New Roman" w:eastAsia="Times New Roman" w:hAnsi="Times New Roman" w:cs="Times New Roman"/>
          <w:color w:val="000000"/>
          <w:sz w:val="24"/>
          <w:szCs w:val="24"/>
        </w:rPr>
        <w:t xml:space="preserve"> la Finlandia alla Germania e la Svezia alla Lituania, e per quelli  provocati il 25 dicembre 2024 da una nave cisterna appartenente alla flotta ombra russa  al cavo elettrico EstLink2, che collega l'Estonia </w:t>
      </w:r>
      <w:r>
        <w:rPr>
          <w:rFonts w:ascii="Times New Roman" w:eastAsia="Times New Roman" w:hAnsi="Times New Roman" w:cs="Times New Roman"/>
          <w:color w:val="000000"/>
          <w:sz w:val="24"/>
          <w:szCs w:val="24"/>
          <w:highlight w:val="white"/>
        </w:rPr>
        <w:t xml:space="preserve">alla Finlandia; </w:t>
      </w:r>
      <w:r>
        <w:rPr>
          <w:rFonts w:ascii="Times New Roman" w:eastAsia="Times New Roman" w:hAnsi="Times New Roman" w:cs="Times New Roman"/>
          <w:color w:val="000000"/>
          <w:sz w:val="24"/>
          <w:szCs w:val="24"/>
        </w:rPr>
        <w:t>invita l'UE a istituire  sistemi di monitoraggio e sorveglianza efficaci e a instaurare una cooperazione  regionale tra le guardie costiere allo scopo di garantire la prevenzione e la rapida  individuazione degli attacchi rivolti a simili infrastrutture; accoglie con favore, a tale  proposito, l'avvio da parte della NATO dell'operazione "</w:t>
      </w:r>
      <w:proofErr w:type="spellStart"/>
      <w:r>
        <w:rPr>
          <w:rFonts w:ascii="Times New Roman" w:eastAsia="Times New Roman" w:hAnsi="Times New Roman" w:cs="Times New Roman"/>
          <w:color w:val="000000"/>
          <w:sz w:val="24"/>
          <w:szCs w:val="24"/>
        </w:rPr>
        <w:t>Baltic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Sentry</w:t>
      </w:r>
      <w:proofErr w:type="spellEnd"/>
      <w:r>
        <w:rPr>
          <w:rFonts w:ascii="Times New Roman" w:eastAsia="Times New Roman" w:hAnsi="Times New Roman" w:cs="Times New Roman"/>
          <w:color w:val="000000"/>
          <w:sz w:val="24"/>
          <w:szCs w:val="24"/>
        </w:rPr>
        <w:t xml:space="preserve">", che vede la  partecipazione di diversi Stati membri, con l'obiettivo di incrementare la sicurezza di  infrastrutture sottomarine critiche nel Mar Baltico; invita gli Stati membri a rispettare  pienamente gli impegni della dichiarazione di New York sulla sicurezza e la resilienza  dei cavi sottomarini, compreso l'impegno ad acquistare le attrezzature dei cavi  sottomarini solo da aziende di paesi alleati; invita la Commissione a stanziare risorse  adeguate a favore della ricerca e dello sviluppo di risorse sottomarine e attrezzature di  difesa all'avanguardia per proteggere le isole da possibili sbarchi e attacchi da parte di  forze di paesi terzi;  </w:t>
      </w:r>
    </w:p>
    <w:p w:rsidR="00A95CCD" w:rsidRDefault="00B6332E">
      <w:pPr>
        <w:pStyle w:val="normal"/>
        <w:widowControl w:val="0"/>
        <w:pBdr>
          <w:top w:val="nil"/>
          <w:left w:val="nil"/>
          <w:bottom w:val="nil"/>
          <w:right w:val="nil"/>
          <w:between w:val="nil"/>
        </w:pBdr>
        <w:spacing w:before="246" w:line="229" w:lineRule="auto"/>
        <w:ind w:left="604" w:right="16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157. invita l'UE e le autorità degli Stati membri ad adottare misure urgenti e decisive contro  la flotta ombra russa nel Mar Baltico e nel Mar Nero, e accoglie pertanto con favore la  notizia secondo cui, il 21 marzo 2025, la Germania ha rilevato la proprietà della nave  </w:t>
      </w:r>
      <w:proofErr w:type="spellStart"/>
      <w:r>
        <w:rPr>
          <w:rFonts w:ascii="Times New Roman" w:eastAsia="Times New Roman" w:hAnsi="Times New Roman" w:cs="Times New Roman"/>
          <w:color w:val="000000"/>
          <w:sz w:val="24"/>
          <w:szCs w:val="24"/>
        </w:rPr>
        <w:t>Eventin</w:t>
      </w:r>
      <w:proofErr w:type="spellEnd"/>
      <w:r>
        <w:rPr>
          <w:rFonts w:ascii="Times New Roman" w:eastAsia="Times New Roman" w:hAnsi="Times New Roman" w:cs="Times New Roman"/>
          <w:color w:val="000000"/>
          <w:sz w:val="24"/>
          <w:szCs w:val="24"/>
        </w:rPr>
        <w:t xml:space="preserve">, che era stata utilizzata per eludere le sanzioni dell'UE sulle esportazioni di  petrolio russo; </w:t>
      </w:r>
    </w:p>
    <w:p w:rsidR="00A95CCD" w:rsidRDefault="00B6332E">
      <w:pPr>
        <w:pStyle w:val="normal"/>
        <w:widowControl w:val="0"/>
        <w:pBdr>
          <w:top w:val="nil"/>
          <w:left w:val="nil"/>
          <w:bottom w:val="nil"/>
          <w:right w:val="nil"/>
          <w:between w:val="nil"/>
        </w:pBdr>
        <w:spacing w:before="246" w:line="240" w:lineRule="auto"/>
        <w:ind w:left="5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Controllo e non proliferazione degli armamenti e disarmo</w:t>
      </w:r>
    </w:p>
    <w:p w:rsidR="00A95CCD" w:rsidRDefault="00B6332E">
      <w:pPr>
        <w:pStyle w:val="normal"/>
        <w:widowControl w:val="0"/>
        <w:pBdr>
          <w:top w:val="nil"/>
          <w:left w:val="nil"/>
          <w:bottom w:val="nil"/>
          <w:right w:val="nil"/>
          <w:between w:val="nil"/>
        </w:pBdr>
        <w:spacing w:line="229" w:lineRule="auto"/>
        <w:ind w:left="604" w:right="1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158. deplora l'indebolimento dei regimi di non proliferazione e di controllo degli armamenti  in questi tempi di instabilità geopolitica e chiede di raddoppiare gli sforzi per invertire  tale tendenza; sottolinea, al riguardo, la necessità fondamentale e sostanziale di investire  maggiormente nel controllo regionale e globale degli armamenti, nella non  </w:t>
      </w:r>
      <w:r>
        <w:rPr>
          <w:rFonts w:ascii="Times New Roman" w:eastAsia="Times New Roman" w:hAnsi="Times New Roman" w:cs="Times New Roman"/>
          <w:color w:val="000000"/>
          <w:sz w:val="24"/>
          <w:szCs w:val="24"/>
        </w:rPr>
        <w:lastRenderedPageBreak/>
        <w:t xml:space="preserve">proliferazione e nel disarmo, ponendo l'accento sulle strategie multilaterali; evidenzia il  fatto che tali strategie dovrebbero affrontare i problemi correlati agli ordigni inesplosi e  alle armi chimiche riversate in mare nel secolo scorso, che già rappresentano una  minaccia per la sicurezza, l'ambiente, la salute e l'economia, in particolare nel Mar  Baltico, nel Mar Adriatico e nel Mare del Nord; </w:t>
      </w:r>
    </w:p>
    <w:p w:rsidR="00A95CCD" w:rsidRDefault="00B6332E">
      <w:pPr>
        <w:pStyle w:val="normal"/>
        <w:widowControl w:val="0"/>
        <w:pBdr>
          <w:top w:val="nil"/>
          <w:left w:val="nil"/>
          <w:bottom w:val="nil"/>
          <w:right w:val="nil"/>
          <w:between w:val="nil"/>
        </w:pBdr>
        <w:spacing w:before="246" w:line="229" w:lineRule="auto"/>
        <w:ind w:left="607" w:right="65" w:hanging="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159. ribadisce il suo fermo sostegno all'impegno dell'UE e dei suoi Stati membri a favore del  trattato di non proliferazione delle armi nucleari (TNP), riconoscendolo come pietra  angolare del quadro di non proliferazione e disarmo nucleare a livello globale; ricorda  che la Russia ha ritirato la sua ratifica del trattato sulla messa al bando totale degli  esperimenti nucleari nell'ottobre 2023; </w:t>
      </w:r>
    </w:p>
    <w:p w:rsidR="00A95CCD" w:rsidRDefault="00B6332E">
      <w:pPr>
        <w:pStyle w:val="normal"/>
        <w:widowControl w:val="0"/>
        <w:pBdr>
          <w:top w:val="nil"/>
          <w:left w:val="nil"/>
          <w:bottom w:val="nil"/>
          <w:right w:val="nil"/>
          <w:between w:val="nil"/>
        </w:pBdr>
        <w:spacing w:before="246" w:line="229" w:lineRule="auto"/>
        <w:ind w:left="604" w:right="1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160. osserva che, a causa della minaccia senza precedenti di un'aggressione russa sul  territorio dell'UE, gli Stati membri, in particolare quelli geograficamente vicini alla  Russia, nonché alla Bielorussia, suo alleato, si trovano a dover esaminare decisioni  difficili riguardo alla loro politica in materia di armamenti, tra cui la revisione delle  politiche esistenti e la partecipazione ai trattati internazionali; condanna ancora una  volta le minacce russe che hanno indotto alcuni Stati membri a prendere in  considerazione la possibilità di ritirarsi dal trattato di Ottawa e osserva che, sebbene ciò  non comporti un cambiamento generale della politica dell'UE, tale esitazione pone in  rilievo la gravità della minaccia russa e la necessità di proteggere adeguatamente i nostri  cittadini; </w:t>
      </w:r>
    </w:p>
    <w:p w:rsidR="00A95CCD" w:rsidRDefault="00B6332E">
      <w:pPr>
        <w:pStyle w:val="normal"/>
        <w:widowControl w:val="0"/>
        <w:pBdr>
          <w:top w:val="nil"/>
          <w:left w:val="nil"/>
          <w:bottom w:val="nil"/>
          <w:right w:val="nil"/>
          <w:between w:val="nil"/>
        </w:pBdr>
        <w:spacing w:before="246" w:line="229" w:lineRule="auto"/>
        <w:ind w:left="604" w:right="19"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161. ricorda che i negoziati internazionali relativi ai regimi di non proliferazione e di  controllo degli armamenti e i loro risultati hanno ripercussioni sull'Europa, in  particolare sugli Stati membri dell'UE; sottolinea l'importanza di imprimere un nuovo  impulso al rilancio di tali regimi; sottolinea inoltre l'importanza di garantire che l'UE  assuma un ruolo attivo e costruttivo nel promuovere e rafforzare gli sforzi internazionali  basati su regole in materia di non proliferazione, controllo degli armamenti e  architettura del disarmo, in particolare nel settore delle armi di distruzione di massa e  degli strumenti di sorveglianza e manipolazione digitali a duplice uso; </w:t>
      </w:r>
    </w:p>
    <w:p w:rsidR="00A95CCD" w:rsidRDefault="00B6332E">
      <w:pPr>
        <w:pStyle w:val="normal"/>
        <w:widowControl w:val="0"/>
        <w:pBdr>
          <w:top w:val="nil"/>
          <w:left w:val="nil"/>
          <w:bottom w:val="nil"/>
          <w:right w:val="nil"/>
          <w:between w:val="nil"/>
        </w:pBdr>
        <w:spacing w:before="246" w:line="229" w:lineRule="auto"/>
        <w:ind w:left="607" w:right="286" w:hanging="5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162. invita gli Stati membri a conformarsi pienamente alla posizione comune  2008/944/PESC che definisce norme comuni per il controllo delle esportazioni di  tecnologia e attrezzature militari, quale modificata dalla decisione (PESC) 2019/1560  del Consiglio, e ad applicare rigorosamente il criterio 4 sulla stabilità regionale;  </w:t>
      </w:r>
    </w:p>
    <w:p w:rsidR="00A95CCD" w:rsidRDefault="00B6332E">
      <w:pPr>
        <w:pStyle w:val="normal"/>
        <w:widowControl w:val="0"/>
        <w:pBdr>
          <w:top w:val="nil"/>
          <w:left w:val="nil"/>
          <w:bottom w:val="nil"/>
          <w:right w:val="nil"/>
          <w:between w:val="nil"/>
        </w:pBdr>
        <w:spacing w:before="246" w:line="229" w:lineRule="auto"/>
        <w:ind w:left="604" w:right="90" w:hanging="53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163. sottolinea la necessità di evitare il trasferimento di tecnologie emergenti sensibili e di  prodotti a duplice uso di importanza fondamentale, soprattutto quelli essenziali per la  sicurezza dell'UE, a destinatari preoccupanti all'esterno dell'UE; chiede l'istituzione e  l'attuazione a livello dell'UE di sistemi elettronici doganali e di gestione delle licenze  per l'esportazione, come passo fondamentale per rendere più efficaci i controlli da parte  </w:t>
      </w:r>
    </w:p>
    <w:p w:rsidR="00A95CCD" w:rsidRDefault="00B6332E">
      <w:pPr>
        <w:pStyle w:val="normal"/>
        <w:widowControl w:val="0"/>
        <w:pBdr>
          <w:top w:val="nil"/>
          <w:left w:val="nil"/>
          <w:bottom w:val="nil"/>
          <w:right w:val="nil"/>
          <w:between w:val="nil"/>
        </w:pBdr>
        <w:spacing w:before="6" w:line="429" w:lineRule="auto"/>
        <w:ind w:left="31" w:right="1485" w:firstLine="581"/>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degli Stati membri sulle esportazioni di tecnologie e prodotti di cui sopra; </w:t>
      </w:r>
      <w:r>
        <w:rPr>
          <w:rFonts w:ascii="Times New Roman" w:eastAsia="Times New Roman" w:hAnsi="Times New Roman" w:cs="Times New Roman"/>
          <w:i/>
          <w:color w:val="000000"/>
          <w:sz w:val="24"/>
          <w:szCs w:val="24"/>
        </w:rPr>
        <w:t xml:space="preserve">Difesa e società, e preparazione e prontezza civile e militare </w:t>
      </w:r>
    </w:p>
    <w:p w:rsidR="00A95CCD" w:rsidRDefault="00B6332E">
      <w:pPr>
        <w:pStyle w:val="normal"/>
        <w:widowControl w:val="0"/>
        <w:pBdr>
          <w:top w:val="nil"/>
          <w:left w:val="nil"/>
          <w:bottom w:val="nil"/>
          <w:right w:val="nil"/>
          <w:between w:val="nil"/>
        </w:pBdr>
        <w:spacing w:before="46" w:line="229" w:lineRule="auto"/>
        <w:ind w:left="607" w:right="10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164. sottolinea che è necessaria una comprensione più ampia, tra i cittadini dell'UE, delle  minacce e dei rischi per la sicurezza al fine di sviluppare una comprensione condivisa e </w:t>
      </w:r>
    </w:p>
    <w:p w:rsidR="00A95CCD" w:rsidRDefault="00B6332E">
      <w:pPr>
        <w:pStyle w:val="normal"/>
        <w:widowControl w:val="0"/>
        <w:pBdr>
          <w:top w:val="nil"/>
          <w:left w:val="nil"/>
          <w:bottom w:val="nil"/>
          <w:right w:val="nil"/>
          <w:between w:val="nil"/>
        </w:pBdr>
        <w:spacing w:line="229" w:lineRule="auto"/>
        <w:ind w:left="604" w:right="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 allineamento delle percezioni delle minacce in tutta Europa e di creare una nozione  globale di difesa europea; sottolinea altresì che garantire un sostegno da parte delle  istituzioni democratiche e, di conseguenza, dei cittadini è essenziale per sviluppare una  difesa dell'UE efficace e coerente a lungo termine, cosa che richiede un dibattito  pubblico informato; invita l'UE e i suoi Stati membri a mettere a punto programmi  educativi e di sensibilizzazione, in particolare per i giovani, volti a migliorare le  </w:t>
      </w:r>
      <w:r>
        <w:rPr>
          <w:rFonts w:ascii="Times New Roman" w:eastAsia="Times New Roman" w:hAnsi="Times New Roman" w:cs="Times New Roman"/>
          <w:color w:val="000000"/>
          <w:sz w:val="24"/>
          <w:szCs w:val="24"/>
        </w:rPr>
        <w:lastRenderedPageBreak/>
        <w:t xml:space="preserve">conoscenze e a facilitare i dibattiti sulla sicurezza, la difesa e l'importanza delle forze  armate, e a rafforzare la resilienza e la preparazione delle società alle sfide in materia di  sicurezza, consentendo nel contempo un maggiore controllo e scrutinio pubblico e  democratico del settore della difesa; invita la Commissione e gli Stati membri a  sviluppare tali programmi nel quadro dello scudo europeo per la democrazia, seguendo  il modello di programmi nazionali come l'iniziativa svedese di emergenza civile; </w:t>
      </w:r>
    </w:p>
    <w:p w:rsidR="00A95CCD" w:rsidRDefault="00B6332E">
      <w:pPr>
        <w:pStyle w:val="normal"/>
        <w:widowControl w:val="0"/>
        <w:pBdr>
          <w:top w:val="nil"/>
          <w:left w:val="nil"/>
          <w:bottom w:val="nil"/>
          <w:right w:val="nil"/>
          <w:between w:val="nil"/>
        </w:pBdr>
        <w:spacing w:before="246" w:line="229" w:lineRule="auto"/>
        <w:ind w:left="604" w:right="3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165. accoglie con favore gli sforzi volti a rafforzare la preparazione e la prontezza civile e  militare dell'Europa, come proposto anche nella relazione </w:t>
      </w:r>
      <w:proofErr w:type="spellStart"/>
      <w:r>
        <w:rPr>
          <w:rFonts w:ascii="Times New Roman" w:eastAsia="Times New Roman" w:hAnsi="Times New Roman" w:cs="Times New Roman"/>
          <w:color w:val="000000"/>
          <w:sz w:val="24"/>
          <w:szCs w:val="24"/>
        </w:rPr>
        <w:t>Niinistö</w:t>
      </w:r>
      <w:proofErr w:type="spellEnd"/>
      <w:r>
        <w:rPr>
          <w:rFonts w:ascii="Times New Roman" w:eastAsia="Times New Roman" w:hAnsi="Times New Roman" w:cs="Times New Roman"/>
          <w:color w:val="000000"/>
          <w:sz w:val="24"/>
          <w:szCs w:val="24"/>
        </w:rPr>
        <w:t xml:space="preserve">; riconosce  l'importanza cruciale dei cittadini nella preparazione e nella risposta alle crisi, in  particolare la resilienza psicologica degli individui e la preparazione delle famiglie;  riconosce altresì l'importanza delle infrastrutture di protezione civile e della  pianificazione per le situazioni di emergenza; sostiene un approccio alla resilienza che  coinvolga l'intera società con l'impegno attivo delle istituzioni dell'UE, degli Stati  membri, della società civile e dei singoli cittadini nel rafforzamento del quadro di  sicurezza dell'Unione; sottolinea che gli organi decisionali della PSDC responsabili  della pianificazione, delle risorse e della logistica hanno il potenziale per diventare i  principali facilitatori della gestione civile delle crisi durante le situazioni di emergenza;  invita gli Stati membri e la Commissione a esaminare attentamente le raccomandazioni  della relazione e a sviluppare una strategia dell'UE in materia di valutazione dei rischi e  preparazione, esercitazioni congiunte e un'interfaccia di cooperazione UE-NATO più  forte in vista di situazioni di crisi; chiede lo sviluppo di un'infrastruttura di protezione  civile adeguata e di una pianificazione approfondita delle emergenze, nonché la  garanzia degli investimenti necessari a tal fine, anche attraverso un apposito programma  di garanzia degli investimenti della BEI per un'infrastruttura di difesa civile a prova di  crisi; </w:t>
      </w:r>
    </w:p>
    <w:p w:rsidR="00A95CCD" w:rsidRDefault="00B6332E">
      <w:pPr>
        <w:pStyle w:val="normal"/>
        <w:widowControl w:val="0"/>
        <w:pBdr>
          <w:top w:val="nil"/>
          <w:left w:val="nil"/>
          <w:bottom w:val="nil"/>
          <w:right w:val="nil"/>
          <w:between w:val="nil"/>
        </w:pBdr>
        <w:spacing w:before="246" w:line="229" w:lineRule="auto"/>
        <w:ind w:left="604" w:right="-5"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166. ricorda che il terrorismo, compreso il terrorismo </w:t>
      </w:r>
      <w:proofErr w:type="spellStart"/>
      <w:r>
        <w:rPr>
          <w:rFonts w:ascii="Times New Roman" w:eastAsia="Times New Roman" w:hAnsi="Times New Roman" w:cs="Times New Roman"/>
          <w:color w:val="000000"/>
          <w:sz w:val="24"/>
          <w:szCs w:val="24"/>
        </w:rPr>
        <w:t>jihadista</w:t>
      </w:r>
      <w:proofErr w:type="spellEnd"/>
      <w:r>
        <w:rPr>
          <w:rFonts w:ascii="Times New Roman" w:eastAsia="Times New Roman" w:hAnsi="Times New Roman" w:cs="Times New Roman"/>
          <w:color w:val="000000"/>
          <w:sz w:val="24"/>
          <w:szCs w:val="24"/>
        </w:rPr>
        <w:t xml:space="preserve">, rappresenta una minaccia  persistente per la sicurezza dell'UE e dei suoi partner; invita l'UE a proseguire gli sforzi  per prevenire questa minaccia con determinazione e piena solidarietà, in particolare  attraverso un maggiore coordinamento per migliorare le conoscenze, sviluppare capacità  di preparazione e risposta, e garantire una più stretta interazione con i partner e gli altri  attori internazionali;  </w:t>
      </w:r>
    </w:p>
    <w:p w:rsidR="00A95CCD" w:rsidRDefault="00B6332E">
      <w:pPr>
        <w:pStyle w:val="normal"/>
        <w:widowControl w:val="0"/>
        <w:pBdr>
          <w:top w:val="nil"/>
          <w:left w:val="nil"/>
          <w:bottom w:val="nil"/>
          <w:right w:val="nil"/>
          <w:between w:val="nil"/>
        </w:pBdr>
        <w:spacing w:before="246" w:line="229" w:lineRule="auto"/>
        <w:ind w:left="604"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167. sottolinea che le politiche di difesa dell'UE dovrebbero riflettere i principi  dell'uguaglianza di genere e della diversità, promuovendo ambienti militari inclusivi che  riflettano i valori e la diversità della società europea, garantendo nel contempo che tutti i  membri delle forze armate europee, indipendentemente dal genere o dal contesto,  abbiano pari opportunità e pari accesso al sostegno; ribadisce l'importante ruolo dei  giovani e delle organizzazioni giovanili nel mantenimento e nella promozione della  pace e della sicurezza, e invita il SEAE a impegnarsi a integrare più sistematicamente i  giovani nella sua agenda in materia di giovani, pace e sicurezza; chiede, inoltre, di  mettere a punto programmi di formazione dei formatori e di cooperazione tra le  istituzioni di difesa e le università degli Stati membri dell'UE, quali corsi militari,  esercitazioni e attività di formazione con giochi di ruolo per studenti civili;</w:t>
      </w:r>
    </w:p>
    <w:p w:rsidR="00A95CCD" w:rsidRDefault="00B6332E">
      <w:pPr>
        <w:pStyle w:val="normal"/>
        <w:widowControl w:val="0"/>
        <w:pBdr>
          <w:top w:val="nil"/>
          <w:left w:val="nil"/>
          <w:bottom w:val="nil"/>
          <w:right w:val="nil"/>
          <w:between w:val="nil"/>
        </w:pBdr>
        <w:spacing w:line="229" w:lineRule="auto"/>
        <w:ind w:left="604" w:right="58"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168. sottolinea che l'UE e i suoi Stati membri devono affrontare sfide cruciali relative al  reclutamento e al mantenimento del personale nelle forze armate sviluppando azioni  coordinate a livello nazionale e dell'UE al fine di garantire una forza lavoro militare  sostenibile; raccomanda all'UE di sostenere gli Stati membri nella definizione di  politiche che aumentino l'attrattiva professionale e di strategie di mantenimento del  personale a lungo termine; sottolinea la necessità che il comitato militare dell'UE  (EUMC) dia seguito al suo compito di raccolta e analisi dei dati in tutti gli Stati membri  dell'UE sulle questioni relative al reclutamento e al mantenimento del personale, al fine  di individuare possibili misure per risolvere tali questioni; mette in evidenza che il  </w:t>
      </w:r>
      <w:r>
        <w:rPr>
          <w:rFonts w:ascii="Times New Roman" w:eastAsia="Times New Roman" w:hAnsi="Times New Roman" w:cs="Times New Roman"/>
          <w:color w:val="000000"/>
          <w:sz w:val="24"/>
          <w:szCs w:val="24"/>
        </w:rPr>
        <w:lastRenderedPageBreak/>
        <w:t xml:space="preserve">sostegno alla salute mentale e al benessere del personale militare, con un'attenzione  particolare per lo sviluppo professionale e l'assistenza a lungo termine per i veterani,  deve essere adeguatamente preso in considerazione nell'ulteriore sviluppo dell'Unione  della difesa; </w:t>
      </w:r>
    </w:p>
    <w:p w:rsidR="00A95CCD" w:rsidRDefault="00B6332E">
      <w:pPr>
        <w:pStyle w:val="normal"/>
        <w:widowControl w:val="0"/>
        <w:pBdr>
          <w:top w:val="nil"/>
          <w:left w:val="nil"/>
          <w:bottom w:val="nil"/>
          <w:right w:val="nil"/>
          <w:between w:val="nil"/>
        </w:pBdr>
        <w:spacing w:before="246" w:line="229" w:lineRule="auto"/>
        <w:ind w:left="607" w:right="57"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 rammenta l'importanza di organizzare esercitazioni e addestramenti congiunti tra le  forze armate europee, promuovendo in tal modo l'interoperabilità, al fine di preparare al  meglio le missioni e affrontare un'ampia gamma di minacce, sia convenzionali che non  convenzionali; chiede la creazione e lo sviluppo di programmi di scambio a livello  dell'UE per il personale militare degli Stati membri, che forniscano opportunità di  formazione ed esperienza in diversi ambienti e strutture militari europei promuovendo  così la comprensione reciproca, la coesione e l'interoperabilità tra le forze armate  dell'UE; ribadisce, a tale proposito, il suo sostegno all'iniziativa europea per lo scambio  di giovani ufficiali militari (</w:t>
      </w:r>
      <w:proofErr w:type="spellStart"/>
      <w:r>
        <w:rPr>
          <w:rFonts w:ascii="Times New Roman" w:eastAsia="Times New Roman" w:hAnsi="Times New Roman" w:cs="Times New Roman"/>
          <w:color w:val="000000"/>
          <w:sz w:val="24"/>
          <w:szCs w:val="24"/>
        </w:rPr>
        <w:t>Erasmus</w:t>
      </w:r>
      <w:proofErr w:type="spellEnd"/>
      <w:r>
        <w:rPr>
          <w:rFonts w:ascii="Times New Roman" w:eastAsia="Times New Roman" w:hAnsi="Times New Roman" w:cs="Times New Roman"/>
          <w:color w:val="000000"/>
          <w:sz w:val="24"/>
          <w:szCs w:val="24"/>
        </w:rPr>
        <w:t xml:space="preserve"> militare – EMILYO), gestita dall'Accademia  europea per la sicurezza e la difesa;  </w:t>
      </w:r>
    </w:p>
    <w:p w:rsidR="00A95CCD" w:rsidRDefault="00B6332E">
      <w:pPr>
        <w:pStyle w:val="normal"/>
        <w:widowControl w:val="0"/>
        <w:pBdr>
          <w:top w:val="nil"/>
          <w:left w:val="nil"/>
          <w:bottom w:val="nil"/>
          <w:right w:val="nil"/>
          <w:between w:val="nil"/>
        </w:pBdr>
        <w:spacing w:before="246" w:line="240" w:lineRule="auto"/>
        <w:ind w:lef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Rafforzare la cooperazione e i partenariati nel settore della difesa </w:t>
      </w:r>
    </w:p>
    <w:p w:rsidR="00A95CCD" w:rsidRDefault="00B6332E">
      <w:pPr>
        <w:pStyle w:val="normal"/>
        <w:widowControl w:val="0"/>
        <w:pBdr>
          <w:top w:val="nil"/>
          <w:left w:val="nil"/>
          <w:bottom w:val="nil"/>
          <w:right w:val="nil"/>
          <w:between w:val="nil"/>
        </w:pBdr>
        <w:spacing w:before="235" w:line="229" w:lineRule="auto"/>
        <w:ind w:left="604" w:right="67"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170. sottolinea l'importanza della dimensione di partenariato della bussola strategica nel  rafforzare la cooperazione tra l'UE e i suoi alleati e partner in tutto il mondo sulla base  di valori comuni e nel rispetto dei diritti umani e della democrazia, al fine di rafforzare  la percezione del principio di deterrenza e contrastare le strategie estere volte a minare  l'UE e i suoi partner e a destabilizzare l'ordine internazionale basato su regole; invita  l'UE a impegnarsi maggiormente nella cooperazione di sicurezza con i partner in tutti  gli ambiti prioritari individuati nella bussola strategica, in particolare per rafforzare la  resilienza del settore della sicurezza locale per quanto riguarda la gestione delle crisi,  per contrastare le minacce ibride e per migliorare le capacità delle istituzioni di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chiede inoltre una più stretta cooperazione tra le organizzazioni  pertinenti dei partner e il Centro satellitare dell'Unione europea, l'Agenzia europea per  la difesa (AED) e l'Agenzia dell'Unione europea per la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(ENISA); ritiene  che la partecipazione dei partner e degli alleati NATO ai progetti PESCO, previo  accordo degli Stati membri dell'UE, contribuisca a migliorare la compatibilità tra le  rispettive norme nel settore della difesa, nonché a condividere esperienze, intelligence e  competenze tecniche in vari settori; </w:t>
      </w:r>
    </w:p>
    <w:p w:rsidR="00A95CCD" w:rsidRDefault="00B6332E">
      <w:pPr>
        <w:pStyle w:val="normal"/>
        <w:widowControl w:val="0"/>
        <w:pBdr>
          <w:top w:val="nil"/>
          <w:left w:val="nil"/>
          <w:bottom w:val="nil"/>
          <w:right w:val="nil"/>
          <w:between w:val="nil"/>
        </w:pBdr>
        <w:spacing w:before="246" w:line="229" w:lineRule="auto"/>
        <w:ind w:left="605" w:right="-3" w:hanging="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171. riafferma che la PSDC dell'UE deve sempre osservare rigorosamente il diritto  internazionale e le decisioni multilaterali adottate da istituzioni internazionali; accoglie  con favore l'adozione della politica di vigilanza dell'Unione europea in materia di diritti  umani e di diritto internazionale umanitario in caso di sostegno a terzi nel settore della  sicurezza, che funge da base per la cooperazione militare e di sicurezza con i paesi terzi  in modo più conforme ai diritti umani e al diritto internazionale umanitario (DIU), e ne  chiede la completa attuazione; rinnova l'invito a una più stretta cooperazione con  organizzazioni internazionali quali, ma non solo, le Nazioni Unite, l'Unione africana e le </w:t>
      </w:r>
    </w:p>
    <w:p w:rsidR="00A95CCD" w:rsidRDefault="00B6332E">
      <w:pPr>
        <w:pStyle w:val="normal"/>
        <w:widowControl w:val="0"/>
        <w:pBdr>
          <w:top w:val="nil"/>
          <w:left w:val="nil"/>
          <w:bottom w:val="nil"/>
          <w:right w:val="nil"/>
          <w:between w:val="nil"/>
        </w:pBdr>
        <w:spacing w:line="229" w:lineRule="auto"/>
        <w:ind w:left="613" w:right="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loro missioni di mantenimento della pace in teatri congiunti, nonché l'OSCE in materia  di sicurezza; </w:t>
      </w:r>
    </w:p>
    <w:p w:rsidR="00A95CCD" w:rsidRDefault="00B6332E">
      <w:pPr>
        <w:pStyle w:val="normal"/>
        <w:widowControl w:val="0"/>
        <w:pBdr>
          <w:top w:val="nil"/>
          <w:left w:val="nil"/>
          <w:bottom w:val="nil"/>
          <w:right w:val="nil"/>
          <w:between w:val="nil"/>
        </w:pBdr>
        <w:spacing w:before="246" w:line="229" w:lineRule="auto"/>
        <w:ind w:left="604"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172. si compiace della dichiarazione congiunta dei ministri della Difesa del G7 in data 19  ottobre 2024 e della loro dichiarazione di intenti riguardante un aumento della  cooperazione nel settore della difesa; sottolinea il forte interesse dell'UE a sviluppare  partenariati internazionali con partner che condividono gli stessi principi in questo  settore e la necessità di intensificare gli sforzi dell'UE per garantire che paesi che un  tempo erano partner strategici e con i quali alcuni Stati membri mantengono forti legami  culturali non vengano trascinati nella sfera di influenza di rivali sistemici; ricorda che la  diplomazia economica svolge un ruolo fondamentale in questo sforzo, fungendo da  </w:t>
      </w:r>
      <w:r>
        <w:rPr>
          <w:rFonts w:ascii="Times New Roman" w:eastAsia="Times New Roman" w:hAnsi="Times New Roman" w:cs="Times New Roman"/>
          <w:color w:val="000000"/>
          <w:sz w:val="24"/>
          <w:szCs w:val="24"/>
        </w:rPr>
        <w:lastRenderedPageBreak/>
        <w:t xml:space="preserve">strumento essenziale per rafforzare i legami di cooperazione, promuovere la prosperità  reciproca e consolidare la presenza e l'influenza dell'UE, contribuendo alla resilienza dei  partner dinanzi alle pressioni esterne; </w:t>
      </w:r>
    </w:p>
    <w:p w:rsidR="00A95CCD" w:rsidRDefault="00B6332E">
      <w:pPr>
        <w:pStyle w:val="normal"/>
        <w:widowControl w:val="0"/>
        <w:pBdr>
          <w:top w:val="nil"/>
          <w:left w:val="nil"/>
          <w:bottom w:val="nil"/>
          <w:right w:val="nil"/>
          <w:between w:val="nil"/>
        </w:pBdr>
        <w:spacing w:before="246" w:line="229" w:lineRule="auto"/>
        <w:ind w:left="613" w:right="73" w:hanging="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173. ritiene che occorra compiere ogni sforzo per mantenere e, se possibile, promuovere la  cooperazione transatlantica in ogni ambito del settore militare e della difesa, ricordando  al contempo la necessità di promuovere la difesa europea e di sviluppare una maggiore  sovranità; </w:t>
      </w:r>
    </w:p>
    <w:p w:rsidR="00A95CCD" w:rsidRDefault="00B6332E">
      <w:pPr>
        <w:pStyle w:val="normal"/>
        <w:widowControl w:val="0"/>
        <w:pBdr>
          <w:top w:val="nil"/>
          <w:left w:val="nil"/>
          <w:bottom w:val="nil"/>
          <w:right w:val="nil"/>
          <w:between w:val="nil"/>
        </w:pBdr>
        <w:spacing w:before="246" w:line="240" w:lineRule="auto"/>
        <w:ind w:left="5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Cooperazione UE-NATO </w:t>
      </w:r>
    </w:p>
    <w:p w:rsidR="00A95CCD" w:rsidRDefault="00B6332E">
      <w:pPr>
        <w:pStyle w:val="normal"/>
        <w:widowControl w:val="0"/>
        <w:pBdr>
          <w:top w:val="nil"/>
          <w:left w:val="nil"/>
          <w:bottom w:val="nil"/>
          <w:right w:val="nil"/>
          <w:between w:val="nil"/>
        </w:pBdr>
        <w:spacing w:before="235" w:line="229" w:lineRule="auto"/>
        <w:ind w:left="606" w:right="13"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174. sottolinea l'importanza del partenariato strategico dell'UE con la NATO, nel pieno  rispetto dei principi guida concordati di trasparenza, reciprocità e </w:t>
      </w:r>
      <w:proofErr w:type="spellStart"/>
      <w:r>
        <w:rPr>
          <w:rFonts w:ascii="Times New Roman" w:eastAsia="Times New Roman" w:hAnsi="Times New Roman" w:cs="Times New Roman"/>
          <w:color w:val="000000"/>
          <w:sz w:val="24"/>
          <w:szCs w:val="24"/>
        </w:rPr>
        <w:t>inclusività</w:t>
      </w:r>
      <w:proofErr w:type="spellEnd"/>
      <w:r>
        <w:rPr>
          <w:rFonts w:ascii="Times New Roman" w:eastAsia="Times New Roman" w:hAnsi="Times New Roman" w:cs="Times New Roman"/>
          <w:color w:val="000000"/>
          <w:sz w:val="24"/>
          <w:szCs w:val="24"/>
        </w:rPr>
        <w:t xml:space="preserve">, nonché nel  rispetto dell'autonomia e delle procedure decisionali di ciascuna organizzazione; mette  in evidenza che la NATO e l'UE svolgono ruoli complementari, coerenti e sinergici nel  sostenere la pace e la sicurezza a livello internazionale, evitando così la duplicazione  degli sforzi di difesa pur mantenendo una forte e stretta cooperazione; si compiace  dell'adesione della Svezia alla NATO nel 2024, e di quella della Finlandia nel 2023, in  quanto storico passo avanti nel rafforzamento della sicurezza in Europa, in particolare  nella regione del Mar Baltico; invita la VP/AR a operare in stretto coordinamento e di  concerto con il Segretario generale della NATO; </w:t>
      </w:r>
    </w:p>
    <w:p w:rsidR="00A95CCD" w:rsidRDefault="00B6332E">
      <w:pPr>
        <w:pStyle w:val="normal"/>
        <w:widowControl w:val="0"/>
        <w:pBdr>
          <w:top w:val="nil"/>
          <w:left w:val="nil"/>
          <w:bottom w:val="nil"/>
          <w:right w:val="nil"/>
          <w:between w:val="nil"/>
        </w:pBdr>
        <w:spacing w:before="246" w:line="229" w:lineRule="auto"/>
        <w:ind w:left="604" w:right="23"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175. chiede un ulteriore rafforzamento della cooperazione UE-NATO sulla base della  bussola strategica dell'UE e del nuovo concetto strategico della NATO, anche nei settori  della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della guerra ibrida, della lotta al terrorismo, della mobilità militare,  delle infrastrutture a duplice uso, della prevenzione dei conflitti, della gestione delle  crisi e della cooperazione in campo militare e in materia di sicurezza, del contrasto alle  ingerenze straniere malevole da parte di paesi terzi, di un approccio coordinato nella  regione indo-pacifica come pure di una crescente azione comune sulla scena  internazionale per proteggere la democrazia; sostiene fermamente la politica di apertura  della NATO; invita l'UE e la NATO a rafforzare la loro cooperazione per sostenere lo  sviluppo delle capacità dei partner comuni; </w:t>
      </w:r>
    </w:p>
    <w:p w:rsidR="00A95CCD" w:rsidRDefault="00B6332E">
      <w:pPr>
        <w:pStyle w:val="normal"/>
        <w:widowControl w:val="0"/>
        <w:pBdr>
          <w:top w:val="nil"/>
          <w:left w:val="nil"/>
          <w:bottom w:val="nil"/>
          <w:right w:val="nil"/>
          <w:between w:val="nil"/>
        </w:pBdr>
        <w:spacing w:before="246" w:line="229" w:lineRule="auto"/>
        <w:ind w:left="602" w:hanging="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176. sottolinea la costante necessità di allineamento tra gli Stati che sono membri sia dell'UE  che della NATO e l'obbligo di cooperazione, </w:t>
      </w:r>
      <w:proofErr w:type="spellStart"/>
      <w:r>
        <w:rPr>
          <w:rFonts w:ascii="Times New Roman" w:eastAsia="Times New Roman" w:hAnsi="Times New Roman" w:cs="Times New Roman"/>
          <w:color w:val="000000"/>
          <w:sz w:val="24"/>
          <w:szCs w:val="24"/>
        </w:rPr>
        <w:t>autoaiuto</w:t>
      </w:r>
      <w:proofErr w:type="spellEnd"/>
      <w:r>
        <w:rPr>
          <w:rFonts w:ascii="Times New Roman" w:eastAsia="Times New Roman" w:hAnsi="Times New Roman" w:cs="Times New Roman"/>
          <w:color w:val="000000"/>
          <w:sz w:val="24"/>
          <w:szCs w:val="24"/>
        </w:rPr>
        <w:t xml:space="preserve"> e assistenza reciproca previsto  dagli articoli 1 e 3 della Carta della NATO; invita l'UE a intensificare gli sforzi in  relazione a iniziative di sicurezza e difesa comuni in caso non vi sia un equivalente della  NATO, al fine di aumentare la standardizzazione, migliorare l'interoperabilità e  sviluppare procedure operative comuni tra le capacità di difesa degli Stati membri e  dell'UE;</w:t>
      </w:r>
    </w:p>
    <w:p w:rsidR="00A95CCD" w:rsidRDefault="00B6332E">
      <w:pPr>
        <w:pStyle w:val="normal"/>
        <w:widowControl w:val="0"/>
        <w:pBdr>
          <w:top w:val="nil"/>
          <w:left w:val="nil"/>
          <w:bottom w:val="nil"/>
          <w:right w:val="nil"/>
          <w:between w:val="nil"/>
        </w:pBdr>
        <w:spacing w:line="229" w:lineRule="auto"/>
        <w:ind w:left="66" w:right="38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177. elogia la stretta cooperazione UE-NATO nei Balcani occidentali, anche attraverso le  operazioni militari </w:t>
      </w:r>
      <w:proofErr w:type="spellStart"/>
      <w:r>
        <w:rPr>
          <w:rFonts w:ascii="Times New Roman" w:eastAsia="Times New Roman" w:hAnsi="Times New Roman" w:cs="Times New Roman"/>
          <w:color w:val="000000"/>
          <w:sz w:val="24"/>
          <w:szCs w:val="24"/>
        </w:rPr>
        <w:t>Althea</w:t>
      </w:r>
      <w:proofErr w:type="spellEnd"/>
      <w:r>
        <w:rPr>
          <w:rFonts w:ascii="Times New Roman" w:eastAsia="Times New Roman" w:hAnsi="Times New Roman" w:cs="Times New Roman"/>
          <w:color w:val="000000"/>
          <w:sz w:val="24"/>
          <w:szCs w:val="24"/>
        </w:rPr>
        <w:t xml:space="preserve"> dell'EUFOR e della KFOR, che garantiscono la stabilità  necessaria per la Bosnia-Erzegovina e il Kosovo, nonché l'intera regione; </w:t>
      </w:r>
    </w:p>
    <w:p w:rsidR="00A95CCD" w:rsidRDefault="00B6332E">
      <w:pPr>
        <w:pStyle w:val="normal"/>
        <w:widowControl w:val="0"/>
        <w:pBdr>
          <w:top w:val="nil"/>
          <w:left w:val="nil"/>
          <w:bottom w:val="nil"/>
          <w:right w:val="nil"/>
          <w:between w:val="nil"/>
        </w:pBdr>
        <w:spacing w:before="246" w:line="229" w:lineRule="auto"/>
        <w:ind w:left="604" w:right="530"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178. mette in evidenza il ruolo vitale della regione del Mar Nero nel panorama della  sicurezza europea e invita l'UE a collaborare con la NATO nella definizione di una  strategia globale per tale regione, che dovrebbe affrontare le sfide in materia di  sicurezza, contrastare le minacce ibride, rafforzare la cooperazione marittima e  promuovere i partenariati regionali; </w:t>
      </w:r>
    </w:p>
    <w:p w:rsidR="00A95CCD" w:rsidRDefault="00B6332E">
      <w:pPr>
        <w:pStyle w:val="normal"/>
        <w:widowControl w:val="0"/>
        <w:pBdr>
          <w:top w:val="nil"/>
          <w:left w:val="nil"/>
          <w:bottom w:val="nil"/>
          <w:right w:val="nil"/>
          <w:between w:val="nil"/>
        </w:pBdr>
        <w:spacing w:before="246" w:line="229" w:lineRule="auto"/>
        <w:ind w:left="607" w:right="-2"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179. valuta positivamente la nomina del rappresentante speciale della NATO per il vicinato  meridionale e l'attenzione della NATO per questa regione; ritiene opportuno rafforzare  il coordinamento e la consultazione tra i funzionari dell'UE incaricati della politica per il  vicinato meridionale e il Sahel e i loro omologhi della NATO, al fine di evitare  </w:t>
      </w:r>
      <w:r>
        <w:rPr>
          <w:rFonts w:ascii="Times New Roman" w:eastAsia="Times New Roman" w:hAnsi="Times New Roman" w:cs="Times New Roman"/>
          <w:color w:val="000000"/>
          <w:sz w:val="24"/>
          <w:szCs w:val="24"/>
        </w:rPr>
        <w:lastRenderedPageBreak/>
        <w:t xml:space="preserve">duplicazioni e la frammentazione degli sforzi e delle risorse; </w:t>
      </w:r>
    </w:p>
    <w:p w:rsidR="00A95CCD" w:rsidRDefault="00B6332E">
      <w:pPr>
        <w:pStyle w:val="normal"/>
        <w:widowControl w:val="0"/>
        <w:pBdr>
          <w:top w:val="nil"/>
          <w:left w:val="nil"/>
          <w:bottom w:val="nil"/>
          <w:right w:val="nil"/>
          <w:between w:val="nil"/>
        </w:pBdr>
        <w:spacing w:before="246" w:line="229" w:lineRule="auto"/>
        <w:ind w:left="602" w:right="24" w:hanging="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180. accoglie con favore la proposta dell'Assemblea parlamentare della NATO di elevare lo  status del Parlamento a "partner" nel quadro della riforma dei partenariati attualmente in  corso; invita la sua delegazione per le relazioni con l'Assemblea parlamentare della  NATO (DNAT) a sfruttare pienamente i privilegi attuali e futuri del Parlamento; ritiene  che la DNAT sia uno strumento importante della diplomazia del Parlamento nell'ambito  di un partenariato UE-NATO rafforzato volto a consolidare il pilastro europeo della  NATO e a contribuire al raggiungimento degli obiettivi generali dell'Alleanza; è del  parere che la DNAT possa svolgere un ruolo centrale nel rafforzamento della  cooperazione UE-NATO, della resilienza democratica dei paesi in fase di adesione e dei  partner chiave e, nel complesso, della dimensione parlamentare di questo partenariato  essenziale;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Partenariato il Nord America </w:t>
      </w:r>
    </w:p>
    <w:p w:rsidR="00A95CCD" w:rsidRDefault="00B6332E">
      <w:pPr>
        <w:pStyle w:val="normal"/>
        <w:widowControl w:val="0"/>
        <w:pBdr>
          <w:top w:val="nil"/>
          <w:left w:val="nil"/>
          <w:bottom w:val="nil"/>
          <w:right w:val="nil"/>
          <w:between w:val="nil"/>
        </w:pBdr>
        <w:spacing w:before="235" w:line="229" w:lineRule="auto"/>
        <w:ind w:left="605" w:right="23" w:hanging="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181. reputa essenziale continuare a sviluppare le strette relazioni dell'UE con gli Stati Uniti,  che si basano sul rispetto reciproco e sui valori condivisi della democrazia, della libertà  e dello Stato di diritto, come anche su un'ampia gamma di interessi comuni o  convergenti; apprezza l'impegno e il coinvolgimento degli Stati Uniti nella difesa  territoriale dell'Europa, conformemente al trattato del Nord-Atlantico e al suo articolo 5,  soprattutto alla luce della guerra di aggressione della Russia contro l’Ucraina;  incoraggia le iniziative di sicurezza e difesa reciproche, e la cooperazione in settori  quali il disarmo e la non proliferazione, l'impatto delle tecnologie di rottura, i  cambiamenti climatici, le minacce ibride, la </w:t>
      </w:r>
      <w:proofErr w:type="spellStart"/>
      <w:r>
        <w:rPr>
          <w:rFonts w:ascii="Times New Roman" w:eastAsia="Times New Roman" w:hAnsi="Times New Roman" w:cs="Times New Roman"/>
          <w:color w:val="000000"/>
          <w:sz w:val="24"/>
          <w:szCs w:val="24"/>
        </w:rPr>
        <w:t>ciberdifesa</w:t>
      </w:r>
      <w:proofErr w:type="spellEnd"/>
      <w:r>
        <w:rPr>
          <w:rFonts w:ascii="Times New Roman" w:eastAsia="Times New Roman" w:hAnsi="Times New Roman" w:cs="Times New Roman"/>
          <w:color w:val="000000"/>
          <w:sz w:val="24"/>
          <w:szCs w:val="24"/>
        </w:rPr>
        <w:t xml:space="preserve">, la mobilità militare, la gestione  delle crisi e le relazioni con i concorrenti strategici; chiede un ulteriore rafforzamento  del dialogo UE-USA in materia di sicurezza e difesa quale importante strumento per  una cooperazione transatlantica più stretta;  </w:t>
      </w:r>
    </w:p>
    <w:p w:rsidR="00A95CCD" w:rsidRDefault="00B6332E">
      <w:pPr>
        <w:pStyle w:val="normal"/>
        <w:widowControl w:val="0"/>
        <w:pBdr>
          <w:top w:val="nil"/>
          <w:left w:val="nil"/>
          <w:bottom w:val="nil"/>
          <w:right w:val="nil"/>
          <w:between w:val="nil"/>
        </w:pBdr>
        <w:spacing w:before="246" w:line="229" w:lineRule="auto"/>
        <w:ind w:left="602" w:right="25" w:hanging="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182. constata che le recenti azioni e dichiarazioni dell'amministrazione statunitense hanno  ulteriormente accresciuto le preoccupazioni circa la futura posizione degli Stati Uniti  nei confronti della Russia, della NATO e della sicurezza dell'Europa; deplora, a tale  proposito, i voti del governo statunitense, allineati con quelli espressi dal governo russo,  in seno all'Assemblea generale delle Nazioni Unite e al Consiglio di sicurezza delle  Nazioni Unite sulle risoluzioni relative al terzo anniversario della guerra di aggressione  della Russia; chiede alla Commissione di adoperarsi per </w:t>
      </w:r>
      <w:proofErr w:type="spellStart"/>
      <w:r>
        <w:rPr>
          <w:rFonts w:ascii="Times New Roman" w:eastAsia="Times New Roman" w:hAnsi="Times New Roman" w:cs="Times New Roman"/>
          <w:color w:val="000000"/>
          <w:sz w:val="24"/>
          <w:szCs w:val="24"/>
        </w:rPr>
        <w:t>riconsolidare</w:t>
      </w:r>
      <w:proofErr w:type="spellEnd"/>
      <w:r>
        <w:rPr>
          <w:rFonts w:ascii="Times New Roman" w:eastAsia="Times New Roman" w:hAnsi="Times New Roman" w:cs="Times New Roman"/>
          <w:color w:val="000000"/>
          <w:sz w:val="24"/>
          <w:szCs w:val="24"/>
        </w:rPr>
        <w:t xml:space="preserve"> il dialogo UE Stati Uniti in materia di sicurezza e difesa quale strumento importante per una più  stretta cooperazione transatlantica;</w:t>
      </w:r>
    </w:p>
    <w:p w:rsidR="00A95CCD" w:rsidRDefault="00B6332E">
      <w:pPr>
        <w:pStyle w:val="normal"/>
        <w:widowControl w:val="0"/>
        <w:pBdr>
          <w:top w:val="nil"/>
          <w:left w:val="nil"/>
          <w:bottom w:val="nil"/>
          <w:right w:val="nil"/>
          <w:between w:val="nil"/>
        </w:pBdr>
        <w:spacing w:line="229" w:lineRule="auto"/>
        <w:ind w:left="604" w:right="106"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183. rileva l'importanza di una maggiore collaborazione nella produzione e  nell'approvvigionamento di prodotti per la difesa, anche attraverso un accesso paritario  al mercato per entrambe le industrie della difesa; prende atto della strategia nazionale  per l'industria della difesa degli Stati Uniti, del gennaio 2024, e della sua ambizione di  approfondire la cooperazione industriale con i partner; riconosce l'ampia gamma di  possibili ambiti di cooperazione reciprocamente vantaggiosi nel settore della difesa e le  relative implicazioni positive per un partenariato transatlantico più forte in tempi di  crescente concorrenza geopolitica; sottolinea, tuttavia, che una cooperazione di questo  tipo richiede condizioni di parità che sono incompatibili con le disposizioni della  regolamentazione statunitense sul commercio internazionale delle armi; invita pertanto  la Commissione ad avviare un dialogo con gli Stati Uniti per valutare le possibilità di  sviluppo di una cooperazione industriale nel settore della difesa reciprocamente  vantaggiosa, basata su un quadro giuridico che garantisca condizioni di parità a livello  transatlantico; </w:t>
      </w:r>
    </w:p>
    <w:p w:rsidR="00A95CCD" w:rsidRDefault="00B6332E">
      <w:pPr>
        <w:pStyle w:val="normal"/>
        <w:widowControl w:val="0"/>
        <w:pBdr>
          <w:top w:val="nil"/>
          <w:left w:val="nil"/>
          <w:bottom w:val="nil"/>
          <w:right w:val="nil"/>
          <w:between w:val="nil"/>
        </w:pBdr>
        <w:spacing w:before="246" w:line="229" w:lineRule="auto"/>
        <w:ind w:left="604" w:right="184"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184. sottolinea che la cooperazione con il Canada è fondamentale per la sicurezza dell'UE e  </w:t>
      </w:r>
      <w:r>
        <w:rPr>
          <w:rFonts w:ascii="Times New Roman" w:eastAsia="Times New Roman" w:hAnsi="Times New Roman" w:cs="Times New Roman"/>
          <w:color w:val="000000"/>
          <w:sz w:val="24"/>
          <w:szCs w:val="24"/>
        </w:rPr>
        <w:lastRenderedPageBreak/>
        <w:t xml:space="preserve">accoglie positivamente il ruolo attivo svolto dal Canada nel fornire assistenza  all'Ucraina; ritiene che il dialogo bilaterale in materia di sicurezza e difesa e il futuro  partenariato in materia di sicurezza e difesa gettino le basi per una cooperazione  rafforzata in questo settore, in particolare per quanto riguarda le rispettive iniziative  volte a potenziare la produzione dell'industria della difesa;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Partenariato con il Regno Unito </w:t>
      </w:r>
    </w:p>
    <w:p w:rsidR="00A95CCD" w:rsidRDefault="00B6332E">
      <w:pPr>
        <w:pStyle w:val="normal"/>
        <w:widowControl w:val="0"/>
        <w:pBdr>
          <w:top w:val="nil"/>
          <w:left w:val="nil"/>
          <w:bottom w:val="nil"/>
          <w:right w:val="nil"/>
          <w:between w:val="nil"/>
        </w:pBdr>
        <w:spacing w:before="277" w:line="229" w:lineRule="auto"/>
        <w:ind w:left="605" w:right="19" w:hanging="5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185. riconosce i contributi significativi del Regno Unito alla sicurezza e alla stabilità  dell'Europa, nonché il suo impegno a favore di obiettivi di difesa condivisi, che  migliorano la sicurezza collettiva in tutta Europa; accoglie con favore la forte  cooperazione tra l'UE, i suoi Stati membri e il Regno Unito per quanto riguarda il  sostegno all'Ucraina, come anche gli accordi bilaterali, come l'accordo di </w:t>
      </w:r>
      <w:proofErr w:type="spellStart"/>
      <w:r>
        <w:rPr>
          <w:rFonts w:ascii="Times New Roman" w:eastAsia="Times New Roman" w:hAnsi="Times New Roman" w:cs="Times New Roman"/>
          <w:color w:val="000000"/>
          <w:sz w:val="24"/>
          <w:szCs w:val="24"/>
        </w:rPr>
        <w:t>Trinity</w:t>
      </w:r>
      <w:proofErr w:type="spellEnd"/>
      <w:r>
        <w:rPr>
          <w:rFonts w:ascii="Times New Roman" w:eastAsia="Times New Roman" w:hAnsi="Times New Roman" w:cs="Times New Roman"/>
          <w:color w:val="000000"/>
          <w:sz w:val="24"/>
          <w:szCs w:val="24"/>
        </w:rPr>
        <w:t xml:space="preserve"> House  tra il Regno Unito e la Germania per approfondire la cooperazione in materia di difesa;  si compiace della partecipazione del Segretario di Stato britannico per gli affari esteri, il  Commonwealth e lo sviluppo alla riunione del Consiglio "Affari esteri" dell'UE  dell'ottobre 2024; chiede che l'UE e il Regno Unito migliorino rapidamente la loro  cooperazione in materia di difesa e diventino partner più stretti in materia di sicurezza  firmando una dichiarazione congiunta che preveda impegni concreti e un dialogo  strutturato, al fine di intensificare la cooperazione </w:t>
      </w:r>
      <w:proofErr w:type="spellStart"/>
      <w:r>
        <w:rPr>
          <w:rFonts w:ascii="Times New Roman" w:eastAsia="Times New Roman" w:hAnsi="Times New Roman" w:cs="Times New Roman"/>
          <w:color w:val="000000"/>
          <w:sz w:val="24"/>
          <w:szCs w:val="24"/>
        </w:rPr>
        <w:t>UE-Regno</w:t>
      </w:r>
      <w:proofErr w:type="spellEnd"/>
      <w:r>
        <w:rPr>
          <w:rFonts w:ascii="Times New Roman" w:eastAsia="Times New Roman" w:hAnsi="Times New Roman" w:cs="Times New Roman"/>
          <w:color w:val="000000"/>
          <w:sz w:val="24"/>
          <w:szCs w:val="24"/>
        </w:rPr>
        <w:t xml:space="preserve"> Unito riguardo all'intera  gamma di sfide in materia di politica estera e di sicurezza cui l'UE e il Regno Unito  devono fare fronte sul continente europeo; sottolinea, a tale riguardo, l'importanza di  una più stretta cooperazione nella condivisione di informazioni e intelligence, nella lotta  al terrorismo, nella mobilità militare, nelle iniziative di sicurezza e difesa, nella gestione  delle crisi, nella </w:t>
      </w:r>
      <w:proofErr w:type="spellStart"/>
      <w:r>
        <w:rPr>
          <w:rFonts w:ascii="Times New Roman" w:eastAsia="Times New Roman" w:hAnsi="Times New Roman" w:cs="Times New Roman"/>
          <w:color w:val="000000"/>
          <w:sz w:val="24"/>
          <w:szCs w:val="24"/>
        </w:rPr>
        <w:t>ciberdifesa</w:t>
      </w:r>
      <w:proofErr w:type="spellEnd"/>
      <w:r>
        <w:rPr>
          <w:rFonts w:ascii="Times New Roman" w:eastAsia="Times New Roman" w:hAnsi="Times New Roman" w:cs="Times New Roman"/>
          <w:color w:val="000000"/>
          <w:sz w:val="24"/>
          <w:szCs w:val="24"/>
        </w:rPr>
        <w:t xml:space="preserve">, nelle minacce ibride e nella FIMI, nonché nell'affrontare  congiuntamente minacce comuni come la proliferazione delle armi di distruzione di  massa; </w:t>
      </w:r>
    </w:p>
    <w:p w:rsidR="00A95CCD" w:rsidRDefault="00B6332E">
      <w:pPr>
        <w:pStyle w:val="normal"/>
        <w:widowControl w:val="0"/>
        <w:pBdr>
          <w:top w:val="nil"/>
          <w:left w:val="nil"/>
          <w:bottom w:val="nil"/>
          <w:right w:val="nil"/>
          <w:between w:val="nil"/>
        </w:pBdr>
        <w:spacing w:before="246" w:line="229" w:lineRule="auto"/>
        <w:ind w:left="604" w:right="21"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 reputa essenziale progredire nella cooperazione pratica formalizzando una dichiarazione  congiunta su un partenariato in materia di sicurezza e difesa con il Regno Unito quale  strumento per rafforzare la sicurezza europea e il pilastro europeo della NATO, in  particolare nel contesto della guerra di aggressione della Russia contro l'Ucraina;  incoraggia la VP/AR a invitare regolarmente il Regno Unito alle riunioni informali del  Consiglio cui partecipano i ministri degli Affari esteri (e della difesa) per scambiare  opinioni su questioni di interesse comune, salvaguardando nel contempo pienamente  l'autonomia decisionale dell'UE;</w:t>
      </w:r>
    </w:p>
    <w:p w:rsidR="00A95CCD" w:rsidRDefault="00B6332E">
      <w:pPr>
        <w:pStyle w:val="normal"/>
        <w:widowControl w:val="0"/>
        <w:pBdr>
          <w:top w:val="nil"/>
          <w:left w:val="nil"/>
          <w:bottom w:val="nil"/>
          <w:right w:val="nil"/>
          <w:between w:val="nil"/>
        </w:pBdr>
        <w:spacing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Partenariato con i partner dei Balcani occidentali e dell'Europa orientale </w:t>
      </w:r>
    </w:p>
    <w:p w:rsidR="00A95CCD" w:rsidRDefault="00B6332E">
      <w:pPr>
        <w:pStyle w:val="normal"/>
        <w:widowControl w:val="0"/>
        <w:pBdr>
          <w:top w:val="nil"/>
          <w:left w:val="nil"/>
          <w:bottom w:val="nil"/>
          <w:right w:val="nil"/>
          <w:between w:val="nil"/>
        </w:pBdr>
        <w:spacing w:before="235" w:line="229" w:lineRule="auto"/>
        <w:ind w:left="606" w:right="73"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187. ritiene che la sicurezza dell'UE sia strettamente interconnessa con la sicurezza dei suoi  vicini europei immediati e che l'UE abbia interesse a dare priorità alla sua politica di  allargamento e a rafforzare la stabilità dei suoi vicini dell'Europa sudorientale e  orientale, in particolare dei paesi candidati; chiede un rafforzamento della cooperazione  </w:t>
      </w:r>
      <w:proofErr w:type="spellStart"/>
      <w:r>
        <w:rPr>
          <w:rFonts w:ascii="Times New Roman" w:eastAsia="Times New Roman" w:hAnsi="Times New Roman" w:cs="Times New Roman"/>
          <w:color w:val="000000"/>
          <w:sz w:val="24"/>
          <w:szCs w:val="24"/>
        </w:rPr>
        <w:t>militare-di</w:t>
      </w:r>
      <w:proofErr w:type="spellEnd"/>
      <w:r>
        <w:rPr>
          <w:rFonts w:ascii="Times New Roman" w:eastAsia="Times New Roman" w:hAnsi="Times New Roman" w:cs="Times New Roman"/>
          <w:color w:val="000000"/>
          <w:sz w:val="24"/>
          <w:szCs w:val="24"/>
        </w:rPr>
        <w:t xml:space="preserve"> sicurezza, compresa la sicurezza civile e militare come anche la sicurezza  delle politiche e militare, e della cooperazione con i paesi candidati e i partner,  segnatamente in settori quali la resilienza, la </w:t>
      </w:r>
      <w:proofErr w:type="spellStart"/>
      <w:r>
        <w:rPr>
          <w:rFonts w:ascii="Times New Roman" w:eastAsia="Times New Roman" w:hAnsi="Times New Roman" w:cs="Times New Roman"/>
          <w:color w:val="000000"/>
          <w:sz w:val="24"/>
          <w:szCs w:val="24"/>
        </w:rPr>
        <w:t>cibersicurezza</w:t>
      </w:r>
      <w:proofErr w:type="spellEnd"/>
      <w:r>
        <w:rPr>
          <w:rFonts w:ascii="Times New Roman" w:eastAsia="Times New Roman" w:hAnsi="Times New Roman" w:cs="Times New Roman"/>
          <w:color w:val="000000"/>
          <w:sz w:val="24"/>
          <w:szCs w:val="24"/>
        </w:rPr>
        <w:t xml:space="preserve">, le minacce ibride, la  gestione delle frontiere, la lotta al terrorismo e la lotta alla disinformazione; ribadisce la  necessità di una stretta cooperazione con la NATO a tale riguardo; accoglie con favore  la firma, da parte dell'UE, di partenariati in materia di sicurezza e difesa il 19 novembre  e il 18 dicembre 2024, rispettivamente con la Macedonia del Nord e l'Albania; </w:t>
      </w:r>
    </w:p>
    <w:p w:rsidR="00A95CCD" w:rsidRDefault="00B6332E">
      <w:pPr>
        <w:pStyle w:val="normal"/>
        <w:widowControl w:val="0"/>
        <w:pBdr>
          <w:top w:val="nil"/>
          <w:left w:val="nil"/>
          <w:bottom w:val="nil"/>
          <w:right w:val="nil"/>
          <w:between w:val="nil"/>
        </w:pBdr>
        <w:spacing w:before="246" w:line="229" w:lineRule="auto"/>
        <w:ind w:left="606" w:right="4"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188. sottolinea che l'Unione dovrebbe facilitare la partecipazione dei partner europei con un  elevato livello di allineamento alle questioni relative alla PSDC – in particolare i paesi  dei Balcani occidentali – ai programmi attuali e futuri legati al settore della difesa;  riafferma che un coinvolgimento approfondito dei paesi candidati agevolerebbe in modo  </w:t>
      </w:r>
      <w:r>
        <w:rPr>
          <w:rFonts w:ascii="Times New Roman" w:eastAsia="Times New Roman" w:hAnsi="Times New Roman" w:cs="Times New Roman"/>
          <w:color w:val="000000"/>
          <w:sz w:val="24"/>
          <w:szCs w:val="24"/>
        </w:rPr>
        <w:lastRenderedPageBreak/>
        <w:t xml:space="preserve">sostanziale il loro processo di adesione, aumentando le loro capacità industriali e  operative nel settore della difesa e migliorando così l'interoperabilità con le forze armate  degli Stati membri dell'UE; è del parere che un'inclusione globale dei paesi candidati  dei Balcani occidentali nelle iniziative di difesa dell'UE rappresenterebbe un  investimento strategico, oltre a essere parte integrante degli sforzi dell'UE volti a  contrastare la crescente assertività e le ingerenze straniere orchestrate in tali paesi; </w:t>
      </w:r>
    </w:p>
    <w:p w:rsidR="00A95CCD" w:rsidRDefault="00B6332E">
      <w:pPr>
        <w:pStyle w:val="normal"/>
        <w:widowControl w:val="0"/>
        <w:pBdr>
          <w:top w:val="nil"/>
          <w:left w:val="nil"/>
          <w:bottom w:val="nil"/>
          <w:right w:val="nil"/>
          <w:between w:val="nil"/>
        </w:pBdr>
        <w:spacing w:before="246" w:line="229" w:lineRule="auto"/>
        <w:ind w:left="612" w:right="293" w:hanging="5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189. incoraggia gli Stati membri a ricorrere ulteriormente all'EPF per la formazione e  l'equipaggiamento dei servizi di sicurezza nei partner dell'Europa sudorientale e  orientale che ospitano missioni PSDC, in particolare per quanto riguarda le  infrastrutture di polizia militare, mediche e di contrasto, e ad aumentare le capacità di  scambio di intelligence attraverso linee di comunicazione sicure;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Partenariato con l'Unione africana e i paesi africani </w:t>
      </w:r>
    </w:p>
    <w:p w:rsidR="00A95CCD" w:rsidRDefault="00B6332E">
      <w:pPr>
        <w:pStyle w:val="normal"/>
        <w:widowControl w:val="0"/>
        <w:pBdr>
          <w:top w:val="nil"/>
          <w:left w:val="nil"/>
          <w:bottom w:val="nil"/>
          <w:right w:val="nil"/>
          <w:between w:val="nil"/>
        </w:pBdr>
        <w:spacing w:before="277" w:line="229" w:lineRule="auto"/>
        <w:ind w:left="606" w:right="324"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190. sottolinea l'importanza che le relazioni </w:t>
      </w:r>
      <w:proofErr w:type="spellStart"/>
      <w:r>
        <w:rPr>
          <w:rFonts w:ascii="Times New Roman" w:eastAsia="Times New Roman" w:hAnsi="Times New Roman" w:cs="Times New Roman"/>
          <w:color w:val="000000"/>
          <w:sz w:val="24"/>
          <w:szCs w:val="24"/>
        </w:rPr>
        <w:t>UE-Africa</w:t>
      </w:r>
      <w:proofErr w:type="spellEnd"/>
      <w:r>
        <w:rPr>
          <w:rFonts w:ascii="Times New Roman" w:eastAsia="Times New Roman" w:hAnsi="Times New Roman" w:cs="Times New Roman"/>
          <w:color w:val="000000"/>
          <w:sz w:val="24"/>
          <w:szCs w:val="24"/>
        </w:rPr>
        <w:t xml:space="preserve"> rivestono per la sicurezza europea;  ritiene essenziale rafforzare in modo significativo i partenariati dell'UE con i paesi  africani; </w:t>
      </w:r>
    </w:p>
    <w:p w:rsidR="00A95CCD" w:rsidRDefault="00B6332E">
      <w:pPr>
        <w:pStyle w:val="normal"/>
        <w:widowControl w:val="0"/>
        <w:pBdr>
          <w:top w:val="nil"/>
          <w:left w:val="nil"/>
          <w:bottom w:val="nil"/>
          <w:right w:val="nil"/>
          <w:between w:val="nil"/>
        </w:pBdr>
        <w:spacing w:before="246" w:line="240" w:lineRule="auto"/>
        <w:ind w:left="32"/>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Partenariato con la regione indo-pacifica </w:t>
      </w:r>
    </w:p>
    <w:p w:rsidR="00A95CCD" w:rsidRDefault="00B6332E">
      <w:pPr>
        <w:pStyle w:val="normal"/>
        <w:widowControl w:val="0"/>
        <w:pBdr>
          <w:top w:val="nil"/>
          <w:left w:val="nil"/>
          <w:bottom w:val="nil"/>
          <w:right w:val="nil"/>
          <w:between w:val="nil"/>
        </w:pBdr>
        <w:spacing w:before="277" w:line="229" w:lineRule="auto"/>
        <w:ind w:left="604" w:right="17"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191. sottolinea l'importanza strategica della regione indo-pacifica nel quadro di difesa  dell'UE, riconoscendo la necessità di affrontare le crescenti preoccupazioni in materia di  sicurezza legate alle attività regionali della Cina e le loro più ampie implicazioni per la  stabilità globale; ritiene essenziale rafforzare la presenza e i partenariati dell'UE in  questa regione; riconosce, inoltre, il ruolo di primo piano di Taiwan nello sviluppo  dell'alta tecnologia e la sua vasta esperienza nel difendersi dagli attacchi ibridi cinesi,  dalla disinformazione e dalla FIMI, elementi che dovrebbero essere considerati  prioritari nella valutazione delle possibilità di rafforzare la cooperazione e gli scambi  multilaterali; </w:t>
      </w:r>
    </w:p>
    <w:p w:rsidR="00A95CCD" w:rsidRDefault="00B6332E">
      <w:pPr>
        <w:pStyle w:val="normal"/>
        <w:widowControl w:val="0"/>
        <w:pBdr>
          <w:top w:val="nil"/>
          <w:left w:val="nil"/>
          <w:bottom w:val="nil"/>
          <w:right w:val="nil"/>
          <w:between w:val="nil"/>
        </w:pBdr>
        <w:spacing w:before="246" w:line="229" w:lineRule="auto"/>
        <w:ind w:left="66" w:right="9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192. sottolinea che è assolutamente necessario per l'UE costruire una sicurezza collettiva più  duratura attraverso una rete di alleati e partner regionali, quale base convenzionale del  suo impegno nella regione; accoglie con grande favore la recente firma, da parte </w:t>
      </w:r>
    </w:p>
    <w:p w:rsidR="00A95CCD" w:rsidRDefault="00B6332E">
      <w:pPr>
        <w:pStyle w:val="normal"/>
        <w:widowControl w:val="0"/>
        <w:pBdr>
          <w:top w:val="nil"/>
          <w:left w:val="nil"/>
          <w:bottom w:val="nil"/>
          <w:right w:val="nil"/>
          <w:between w:val="nil"/>
        </w:pBdr>
        <w:spacing w:line="229" w:lineRule="auto"/>
        <w:ind w:left="613" w:right="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dell'UE, di partenariati in materia di sicurezza e difesa con il Giappone e la Corea del  Sud, rispettivamente il 1° novembre 2024 e il 4 novembre 2024; ritiene che un ulteriore  approfondimento dei partenariati strategici e di difesa dell'UE con il Giappone e la  Corea del Sud e lo sviluppo di un dialogo regolare, della cooperazione e della creazione  di capacità con altri paesi della regione indo-pacifica che condividono gli stessi principi,  quali Australia, Nuova Zelanda e Taiwan, siano fondamentali per promuovere la  sicurezza comune; ribadisce all'UE l'invito a intensificare il dialogo con partner  strategici emergenti della regione quali l'Indonesia e il Vietnam; </w:t>
      </w:r>
    </w:p>
    <w:p w:rsidR="00A95CCD" w:rsidRDefault="00B6332E">
      <w:pPr>
        <w:pStyle w:val="normal"/>
        <w:widowControl w:val="0"/>
        <w:pBdr>
          <w:top w:val="nil"/>
          <w:left w:val="nil"/>
          <w:bottom w:val="nil"/>
          <w:right w:val="nil"/>
          <w:between w:val="nil"/>
        </w:pBdr>
        <w:spacing w:before="246" w:line="229" w:lineRule="auto"/>
        <w:ind w:left="604" w:right="92" w:hanging="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193. pone in evidenza l'importanza del partenariato </w:t>
      </w:r>
      <w:proofErr w:type="spellStart"/>
      <w:r>
        <w:rPr>
          <w:rFonts w:ascii="Times New Roman" w:eastAsia="Times New Roman" w:hAnsi="Times New Roman" w:cs="Times New Roman"/>
          <w:color w:val="000000"/>
          <w:sz w:val="24"/>
          <w:szCs w:val="24"/>
        </w:rPr>
        <w:t>UE-India</w:t>
      </w:r>
      <w:proofErr w:type="spellEnd"/>
      <w:r>
        <w:rPr>
          <w:rFonts w:ascii="Times New Roman" w:eastAsia="Times New Roman" w:hAnsi="Times New Roman" w:cs="Times New Roman"/>
          <w:color w:val="000000"/>
          <w:sz w:val="24"/>
          <w:szCs w:val="24"/>
        </w:rPr>
        <w:t xml:space="preserve"> e ritiene che la storica visita  della Presidente della Commissione e del Collegio dei commissari in India il 27 e 28  febbraio 2025 abbia segnato l'inizio di un nuovo capitolo nella storia delle relazioni UE India e abbia ribadito l'importanza strategica di tali relazioni e il loro potenziale ancora  inutilizzato; sottolinea le potenzialità in termini di approfondimento del nostro  partenariato, anche attraverso il rafforzamento delle consultazioni in materia di  sicurezza e difesa; </w:t>
      </w:r>
    </w:p>
    <w:p w:rsidR="00A95CCD" w:rsidRDefault="00B6332E">
      <w:pPr>
        <w:pStyle w:val="normal"/>
        <w:widowControl w:val="0"/>
        <w:pBdr>
          <w:top w:val="nil"/>
          <w:left w:val="nil"/>
          <w:bottom w:val="nil"/>
          <w:right w:val="nil"/>
          <w:between w:val="nil"/>
        </w:pBdr>
        <w:spacing w:before="366" w:line="240" w:lineRule="auto"/>
        <w:ind w:left="30"/>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Maggiore coinvolgimento del Parlamento europeo nella PSDC </w:t>
      </w:r>
    </w:p>
    <w:p w:rsidR="00A95CCD" w:rsidRDefault="00B6332E">
      <w:pPr>
        <w:pStyle w:val="normal"/>
        <w:widowControl w:val="0"/>
        <w:pBdr>
          <w:top w:val="nil"/>
          <w:left w:val="nil"/>
          <w:bottom w:val="nil"/>
          <w:right w:val="nil"/>
          <w:between w:val="nil"/>
        </w:pBdr>
        <w:spacing w:before="235" w:line="229" w:lineRule="auto"/>
        <w:ind w:left="606" w:right="589"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194. sottolinea che il rafforzamento della PSDC come priorità politica della decima  legislatura e l'aumento della spesa per le politiche e i programmi di difesa a livello  dell'UE e da parte degli Stati membri richiedono un pieno controllo e una piena  responsabilità parlamentare; </w:t>
      </w:r>
    </w:p>
    <w:p w:rsidR="00A95CCD" w:rsidRDefault="00B6332E">
      <w:pPr>
        <w:pStyle w:val="normal"/>
        <w:widowControl w:val="0"/>
        <w:pBdr>
          <w:top w:val="nil"/>
          <w:left w:val="nil"/>
          <w:bottom w:val="nil"/>
          <w:right w:val="nil"/>
          <w:between w:val="nil"/>
        </w:pBdr>
        <w:spacing w:before="246" w:line="229" w:lineRule="auto"/>
        <w:ind w:left="6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195. invita, a questo proposito, a rafforzare il ruolo legislativo, di controllo e di bilancio del  Parlamento su un numero crescente di iniziative in materia di difesa all'interno delle  istituzioni dell'UE e in particolare il lavoro svolto nell'ambito della PSDC, anche  migliorando il dialogo periodico, lo scambio di informazioni e il mantenimento di canali  di comunicazione permanenti tra la VP/AR, il Commissario per la Difesa e lo spazio e  gli organi competenti del Parlamento; raccomanda che le commissioni parlamentari  competenti ricevano periodicamente aggiornamenti in materia di intelligence; </w:t>
      </w:r>
    </w:p>
    <w:p w:rsidR="00A95CCD" w:rsidRDefault="00B6332E">
      <w:pPr>
        <w:pStyle w:val="normal"/>
        <w:widowControl w:val="0"/>
        <w:pBdr>
          <w:top w:val="nil"/>
          <w:left w:val="nil"/>
          <w:bottom w:val="nil"/>
          <w:right w:val="nil"/>
          <w:between w:val="nil"/>
        </w:pBdr>
        <w:spacing w:before="246" w:line="229" w:lineRule="auto"/>
        <w:ind w:left="606" w:right="3"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196. si rammarica del fatto che la mancanza di accesso alle informazioni impedisca al  Parlamento di esercitare un adeguato controllo sui progetti PESCO; ribadisce agli Stati  membri il suo invito a presentare al Parlamento una relazione sull'attuazione dei progetti  PESCO almeno due volte l'anno; ribadisce altresì al SEAE il suo invito a riferire  regolarmente e in modo esauriente alla commissione per la sicurezza e la difesa del  Parlamento sull'attuazione della bussola strategica, su altre iniziative e altri programmi  in materia di sicurezza e difesa e sulla loro valutazione; sottolinea la necessità di  migliorare il controllo dell'attuazione delle normative relative all’industria della difesa  mediante l'introduzione della procedura relativa agli atti delegati; </w:t>
      </w:r>
    </w:p>
    <w:p w:rsidR="00A95CCD" w:rsidRDefault="00B6332E">
      <w:pPr>
        <w:pStyle w:val="normal"/>
        <w:widowControl w:val="0"/>
        <w:pBdr>
          <w:top w:val="nil"/>
          <w:left w:val="nil"/>
          <w:bottom w:val="nil"/>
          <w:right w:val="nil"/>
          <w:between w:val="nil"/>
        </w:pBdr>
        <w:spacing w:before="246"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35"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t>
      </w:r>
      <w:proofErr w:type="spellEnd"/>
      <w:r>
        <w:rPr>
          <w:rFonts w:ascii="Times New Roman" w:eastAsia="Times New Roman" w:hAnsi="Times New Roman" w:cs="Times New Roman"/>
          <w:color w:val="000000"/>
          <w:sz w:val="24"/>
          <w:szCs w:val="24"/>
        </w:rPr>
        <w:t xml:space="preserve"> </w:t>
      </w:r>
    </w:p>
    <w:p w:rsidR="00A95CCD" w:rsidRDefault="00B6332E">
      <w:pPr>
        <w:pStyle w:val="normal"/>
        <w:widowControl w:val="0"/>
        <w:pBdr>
          <w:top w:val="nil"/>
          <w:left w:val="nil"/>
          <w:bottom w:val="nil"/>
          <w:right w:val="nil"/>
          <w:between w:val="nil"/>
        </w:pBdr>
        <w:spacing w:before="235" w:line="229" w:lineRule="auto"/>
        <w:ind w:left="66" w:right="3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197. incarica la sua Presidente di trasmettere la presente risoluzione al Consiglio europeo, al  Consiglio, alla vicepresidente della Commissione / alta rappresentante dell'Unione per  gli affari esteri e la politica di sicurezza, alla Presidente della Commissione e ai  Commissari competenti, al Segretario generale delle Nazioni Unite, al Segretario  generale della NATO, al presidente dell'Assemblea parlamentare della NATO e alle  agenzie dell'UE per la sicurezza e la difesa, nonché ai governi e ai parlamenti degli Stati </w:t>
      </w:r>
    </w:p>
    <w:p w:rsidR="00A95CCD" w:rsidRDefault="00B6332E">
      <w:pPr>
        <w:pStyle w:val="normal"/>
        <w:widowControl w:val="0"/>
        <w:pBdr>
          <w:top w:val="nil"/>
          <w:left w:val="nil"/>
          <w:bottom w:val="nil"/>
          <w:right w:val="nil"/>
          <w:between w:val="nil"/>
        </w:pBdr>
        <w:spacing w:line="240" w:lineRule="auto"/>
        <w:ind w:left="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membri e dei paesi partner.</w:t>
      </w:r>
    </w:p>
    <w:sectPr w:rsidR="00A95CCD" w:rsidSect="00A95CCD">
      <w:pgSz w:w="11900" w:h="16820"/>
      <w:pgMar w:top="1118" w:right="1358" w:bottom="1470" w:left="1379"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characterSpacingControl w:val="doNotCompress"/>
  <w:compat/>
  <w:rsids>
    <w:rsidRoot w:val="00A95CCD"/>
    <w:rsid w:val="001B0C43"/>
    <w:rsid w:val="009F4D6F"/>
    <w:rsid w:val="00A95CCD"/>
    <w:rsid w:val="00B6332E"/>
    <w:rsid w:val="00BE36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C43"/>
  </w:style>
  <w:style w:type="paragraph" w:styleId="Titolo1">
    <w:name w:val="heading 1"/>
    <w:basedOn w:val="normal"/>
    <w:next w:val="normal"/>
    <w:rsid w:val="00A95CCD"/>
    <w:pPr>
      <w:keepNext/>
      <w:keepLines/>
      <w:spacing w:before="480" w:after="120"/>
      <w:outlineLvl w:val="0"/>
    </w:pPr>
    <w:rPr>
      <w:b/>
      <w:sz w:val="48"/>
      <w:szCs w:val="48"/>
    </w:rPr>
  </w:style>
  <w:style w:type="paragraph" w:styleId="Titolo2">
    <w:name w:val="heading 2"/>
    <w:basedOn w:val="normal"/>
    <w:next w:val="normal"/>
    <w:rsid w:val="00A95CCD"/>
    <w:pPr>
      <w:keepNext/>
      <w:keepLines/>
      <w:spacing w:before="360" w:after="80"/>
      <w:outlineLvl w:val="1"/>
    </w:pPr>
    <w:rPr>
      <w:b/>
      <w:sz w:val="36"/>
      <w:szCs w:val="36"/>
    </w:rPr>
  </w:style>
  <w:style w:type="paragraph" w:styleId="Titolo3">
    <w:name w:val="heading 3"/>
    <w:basedOn w:val="normal"/>
    <w:next w:val="normal"/>
    <w:rsid w:val="00A95CCD"/>
    <w:pPr>
      <w:keepNext/>
      <w:keepLines/>
      <w:spacing w:before="280" w:after="80"/>
      <w:outlineLvl w:val="2"/>
    </w:pPr>
    <w:rPr>
      <w:b/>
      <w:sz w:val="28"/>
      <w:szCs w:val="28"/>
    </w:rPr>
  </w:style>
  <w:style w:type="paragraph" w:styleId="Titolo4">
    <w:name w:val="heading 4"/>
    <w:basedOn w:val="normal"/>
    <w:next w:val="normal"/>
    <w:rsid w:val="00A95CCD"/>
    <w:pPr>
      <w:keepNext/>
      <w:keepLines/>
      <w:spacing w:before="240" w:after="40"/>
      <w:outlineLvl w:val="3"/>
    </w:pPr>
    <w:rPr>
      <w:b/>
      <w:sz w:val="24"/>
      <w:szCs w:val="24"/>
    </w:rPr>
  </w:style>
  <w:style w:type="paragraph" w:styleId="Titolo5">
    <w:name w:val="heading 5"/>
    <w:basedOn w:val="normal"/>
    <w:next w:val="normal"/>
    <w:rsid w:val="00A95CCD"/>
    <w:pPr>
      <w:keepNext/>
      <w:keepLines/>
      <w:spacing w:before="220" w:after="40"/>
      <w:outlineLvl w:val="4"/>
    </w:pPr>
    <w:rPr>
      <w:b/>
    </w:rPr>
  </w:style>
  <w:style w:type="paragraph" w:styleId="Titolo6">
    <w:name w:val="heading 6"/>
    <w:basedOn w:val="normal"/>
    <w:next w:val="normal"/>
    <w:rsid w:val="00A95CC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95CCD"/>
  </w:style>
  <w:style w:type="table" w:customStyle="1" w:styleId="TableNormal">
    <w:name w:val="Table Normal"/>
    <w:rsid w:val="00A95CCD"/>
    <w:tblPr>
      <w:tblCellMar>
        <w:top w:w="0" w:type="dxa"/>
        <w:left w:w="0" w:type="dxa"/>
        <w:bottom w:w="0" w:type="dxa"/>
        <w:right w:w="0" w:type="dxa"/>
      </w:tblCellMar>
    </w:tblPr>
  </w:style>
  <w:style w:type="paragraph" w:styleId="Titolo">
    <w:name w:val="Title"/>
    <w:basedOn w:val="normal"/>
    <w:next w:val="normal"/>
    <w:rsid w:val="00A95CCD"/>
    <w:pPr>
      <w:keepNext/>
      <w:keepLines/>
      <w:spacing w:before="480" w:after="120"/>
    </w:pPr>
    <w:rPr>
      <w:b/>
      <w:sz w:val="72"/>
      <w:szCs w:val="72"/>
    </w:rPr>
  </w:style>
  <w:style w:type="paragraph" w:styleId="Sottotitolo">
    <w:name w:val="Subtitle"/>
    <w:basedOn w:val="normal"/>
    <w:next w:val="normal"/>
    <w:rsid w:val="00A95CCD"/>
    <w:pPr>
      <w:keepNext/>
      <w:keepLines/>
      <w:spacing w:before="360" w:after="80"/>
    </w:pPr>
    <w:rPr>
      <w:rFonts w:ascii="Georgia" w:eastAsia="Georgia" w:hAnsi="Georgia" w:cs="Georgia"/>
      <w:i/>
      <w:color w:val="666666"/>
      <w:sz w:val="48"/>
      <w:szCs w:val="48"/>
    </w:rPr>
  </w:style>
  <w:style w:type="character" w:styleId="Enfasicorsivo">
    <w:name w:val="Emphasis"/>
    <w:basedOn w:val="Carpredefinitoparagrafo"/>
    <w:uiPriority w:val="20"/>
    <w:qFormat/>
    <w:rsid w:val="009F4D6F"/>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1488</TotalTime>
  <Pages>1</Pages>
  <Words>32961</Words>
  <Characters>187883</Characters>
  <Application>Microsoft Office Word</Application>
  <DocSecurity>0</DocSecurity>
  <Lines>1565</Lines>
  <Paragraphs>440</Paragraphs>
  <ScaleCrop>false</ScaleCrop>
  <Company/>
  <LinksUpToDate>false</LinksUpToDate>
  <CharactersWithSpaces>220404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Agata</cp:lastModifiedBy>
  <cp:revision>6</cp:revision>
  <dcterms:created xsi:type="dcterms:W3CDTF">2025-04-05T09:50:00Z</dcterms:created>
  <dcterms:modified xsi:type="dcterms:W3CDTF">2025-04-07T08:43:00Z</dcterms:modified>
</cp:coreProperties>
</file>